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C45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default" w:ascii="Times New Roman" w:hAnsi="Times New Roman" w:cs="Times New Roman"/>
          <w:color w:val="auto"/>
        </w:rPr>
      </w:pPr>
    </w:p>
    <w:p w14:paraId="4CDAF395">
      <w:pPr>
        <w:pStyle w:val="9"/>
        <w:rPr>
          <w:rFonts w:hint="default"/>
        </w:rPr>
      </w:pPr>
    </w:p>
    <w:p w14:paraId="11AAD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default" w:ascii="Times New Roman" w:hAnsi="Times New Roman" w:cs="Times New Roman"/>
          <w:color w:val="auto"/>
        </w:rPr>
      </w:pPr>
    </w:p>
    <w:p w14:paraId="27F21059">
      <w:pPr>
        <w:pStyle w:val="2"/>
        <w:rPr>
          <w:rFonts w:hint="default"/>
          <w:color w:val="auto"/>
        </w:rPr>
      </w:pPr>
    </w:p>
    <w:p w14:paraId="3D651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p w14:paraId="0F9D5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巴彦淖尔市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2025年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度</w:t>
      </w:r>
    </w:p>
    <w:p w14:paraId="2EC36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固体废物污染环境防治信息公报</w:t>
      </w:r>
    </w:p>
    <w:p w14:paraId="087D9F60">
      <w:pPr>
        <w:pStyle w:val="2"/>
        <w:spacing w:line="330" w:lineRule="auto"/>
      </w:pPr>
    </w:p>
    <w:p w14:paraId="2A2434D9">
      <w:pPr>
        <w:pStyle w:val="2"/>
        <w:spacing w:line="330" w:lineRule="auto"/>
      </w:pPr>
    </w:p>
    <w:p w14:paraId="183EAB0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right="102" w:firstLine="644" w:firstLineChars="200"/>
        <w:jc w:val="both"/>
        <w:textAlignment w:val="baseline"/>
        <w:rPr>
          <w:rFonts w:hint="eastAsia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巴彦淖尔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市产生固体废物总量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4639.51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万吨，其中，一般工业固体废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物产生量为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2288.51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万吨，危险废物产生量为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59.48</w:t>
      </w:r>
      <w:r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</w:rPr>
        <w:t>万吨，生活垃圾产生量为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42.92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万吨，建筑垃圾产生量为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71.31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万吨，农业固体废物产生量为</w:t>
      </w:r>
      <w:r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  <w:lang w:val="en-US" w:eastAsia="zh-CN"/>
        </w:rPr>
        <w:t>2170.04</w:t>
      </w:r>
      <w:r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</w:rPr>
        <w:t>万</w:t>
      </w:r>
      <w:r>
        <w:rPr>
          <w:rFonts w:hint="eastAsia" w:ascii="仿宋_GB2312" w:hAnsi="仿宋_GB2312" w:eastAsia="仿宋_GB2312" w:cs="仿宋_GB2312"/>
          <w:color w:val="auto"/>
          <w:spacing w:val="-1"/>
          <w:sz w:val="32"/>
          <w:szCs w:val="32"/>
        </w:rPr>
        <w:t>吨</w:t>
      </w:r>
      <w:r>
        <w:rPr>
          <w:rFonts w:hint="eastAsia" w:ascii="仿宋_GB2312" w:hAnsi="仿宋_GB2312" w:eastAsia="仿宋_GB2312" w:cs="仿宋_GB2312"/>
          <w:color w:val="auto"/>
          <w:spacing w:val="-1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-1"/>
          <w:sz w:val="32"/>
          <w:szCs w:val="32"/>
        </w:rPr>
        <w:t>城镇污水污泥产生量为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7.25</w:t>
      </w:r>
      <w:r>
        <w:rPr>
          <w:rFonts w:hint="eastAsia" w:ascii="仿宋_GB2312" w:hAnsi="仿宋_GB2312" w:eastAsia="仿宋_GB2312" w:cs="仿宋_GB2312"/>
          <w:color w:val="auto"/>
          <w:spacing w:val="-1"/>
          <w:sz w:val="32"/>
          <w:szCs w:val="32"/>
        </w:rPr>
        <w:t>万吨</w:t>
      </w:r>
      <w:r>
        <w:rPr>
          <w:rFonts w:hint="eastAsia" w:ascii="仿宋_GB2312" w:hAnsi="仿宋_GB2312" w:eastAsia="仿宋_GB2312" w:cs="仿宋_GB2312"/>
          <w:color w:val="auto"/>
          <w:spacing w:val="-7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巴彦淖尔市固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体废物污染环境防治信息详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细情况如下。</w:t>
      </w:r>
    </w:p>
    <w:p w14:paraId="1D724FA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584"/>
        <w:jc w:val="both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pacing w:val="4"/>
          <w:sz w:val="32"/>
          <w:szCs w:val="32"/>
        </w:rPr>
        <w:t>一、一般工业固体废物</w:t>
      </w:r>
    </w:p>
    <w:p w14:paraId="259DFEE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584"/>
        <w:jc w:val="both"/>
        <w:textAlignment w:val="baseline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pacing w:val="4"/>
          <w:sz w:val="32"/>
          <w:szCs w:val="32"/>
        </w:rPr>
        <w:t>1.产生、利用及处置情况</w:t>
      </w:r>
    </w:p>
    <w:p w14:paraId="2734385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84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，本市一般工业固体废物产生量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2288.51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val="en-US" w:eastAsia="zh-CN"/>
        </w:rPr>
        <w:t>万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吨，综合利用量为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  <w:lang w:val="en-US" w:eastAsia="zh-CN"/>
        </w:rPr>
        <w:t>563.37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万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</w:rPr>
        <w:t>吨(含综合利用往年贮存量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lang w:val="en-US" w:eastAsia="zh-CN"/>
        </w:rPr>
        <w:t>37.41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</w:rPr>
        <w:t>万吨),综合利用率为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lang w:val="en-US" w:eastAsia="zh-CN"/>
        </w:rPr>
        <w:t>24.62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</w:rPr>
        <w:t>%, 主要利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用方式为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lang w:val="en-US" w:eastAsia="zh-CN"/>
        </w:rPr>
        <w:t>建筑材料、铺路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</w:rPr>
        <w:t>;</w:t>
      </w:r>
      <w:r>
        <w:rPr>
          <w:rFonts w:hint="eastAsia" w:ascii="仿宋_GB2312" w:hAnsi="仿宋_GB2312" w:eastAsia="仿宋_GB2312" w:cs="仿宋_GB2312"/>
          <w:spacing w:val="-3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处置量为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1742.41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万吨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</w:rPr>
        <w:t>(含综合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lang w:val="en-US" w:eastAsia="zh-CN"/>
        </w:rPr>
        <w:t>处置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</w:rPr>
        <w:t>往年贮存量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lang w:val="en-US" w:eastAsia="zh-CN"/>
        </w:rPr>
        <w:t>5.26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</w:rPr>
        <w:t>万吨)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，处置率为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76.14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,主要处置方式为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val="en-US" w:eastAsia="zh-CN"/>
        </w:rPr>
        <w:t>填埋、尾矿库堆放</w:t>
      </w:r>
      <w:r>
        <w:rPr>
          <w:rFonts w:hint="eastAsia" w:ascii="仿宋_GB2312" w:hAnsi="仿宋_GB2312" w:eastAsia="仿宋_GB2312" w:cs="仿宋_GB2312"/>
          <w:spacing w:val="-94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;累计贮存量为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val="en-US" w:eastAsia="zh-CN"/>
        </w:rPr>
        <w:t>700.3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万吨。</w:t>
      </w:r>
    </w:p>
    <w:p w14:paraId="54A4D52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584"/>
        <w:jc w:val="both"/>
        <w:textAlignment w:val="baseline"/>
        <w:outlineLvl w:val="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pacing w:val="3"/>
          <w:sz w:val="32"/>
          <w:szCs w:val="32"/>
        </w:rPr>
        <w:t>2.行业产生情况</w:t>
      </w:r>
    </w:p>
    <w:p w14:paraId="581FC27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64" w:firstLineChars="200"/>
        <w:textAlignment w:val="baseline"/>
        <w:rPr>
          <w:rFonts w:hint="eastAsia" w:ascii="仿宋_GB2312" w:hAnsi="仿宋_GB2312" w:eastAsia="仿宋_GB2312" w:cs="仿宋_GB2312"/>
          <w:spacing w:val="1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，一般工业固体废物产生量排名前5的行业依次为有色金属矿采选业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黑色金属矿采选业、电力热力生产和供应、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  <w:t>医药制造业、有色金属冶炼和压延加工业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,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分别占全市一般工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业固体废物产生量的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37.35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%、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26.25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%、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10.97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  <w:t>2.7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%、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  <w:t>2.36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%,详细情况见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  <w:t>表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1。</w:t>
      </w:r>
    </w:p>
    <w:tbl>
      <w:tblPr>
        <w:tblStyle w:val="6"/>
        <w:tblpPr w:leftFromText="180" w:rightFromText="180" w:vertAnchor="text" w:horzAnchor="page" w:tblpXSpec="center" w:tblpY="836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1"/>
        <w:gridCol w:w="1702"/>
        <w:gridCol w:w="1824"/>
        <w:gridCol w:w="1824"/>
      </w:tblGrid>
      <w:tr w14:paraId="7AC59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841" w:type="dxa"/>
            <w:noWrap w:val="0"/>
            <w:vAlign w:val="bottom"/>
          </w:tcPr>
          <w:p w14:paraId="40F96BAC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行业名称</w:t>
            </w:r>
          </w:p>
        </w:tc>
        <w:tc>
          <w:tcPr>
            <w:tcW w:w="1702" w:type="dxa"/>
            <w:noWrap w:val="0"/>
            <w:vAlign w:val="bottom"/>
          </w:tcPr>
          <w:p w14:paraId="00EA6A84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单位</w:t>
            </w:r>
          </w:p>
        </w:tc>
        <w:tc>
          <w:tcPr>
            <w:tcW w:w="1824" w:type="dxa"/>
            <w:noWrap w:val="0"/>
            <w:vAlign w:val="bottom"/>
          </w:tcPr>
          <w:p w14:paraId="5EDE7B7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产生量</w:t>
            </w:r>
          </w:p>
        </w:tc>
        <w:tc>
          <w:tcPr>
            <w:tcW w:w="1824" w:type="dxa"/>
            <w:noWrap w:val="0"/>
            <w:vAlign w:val="bottom"/>
          </w:tcPr>
          <w:p w14:paraId="6CEF14D8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占总量比例（%）</w:t>
            </w:r>
          </w:p>
        </w:tc>
      </w:tr>
      <w:tr w14:paraId="48BA7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841" w:type="dxa"/>
            <w:noWrap w:val="0"/>
            <w:vAlign w:val="bottom"/>
          </w:tcPr>
          <w:p w14:paraId="06145F8E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有色金属矿采选业</w:t>
            </w:r>
          </w:p>
        </w:tc>
        <w:tc>
          <w:tcPr>
            <w:tcW w:w="1702" w:type="dxa"/>
            <w:noWrap w:val="0"/>
            <w:vAlign w:val="bottom"/>
          </w:tcPr>
          <w:p w14:paraId="6B39F2E9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万吨</w:t>
            </w:r>
          </w:p>
        </w:tc>
        <w:tc>
          <w:tcPr>
            <w:tcW w:w="1824" w:type="dxa"/>
            <w:noWrap w:val="0"/>
            <w:vAlign w:val="bottom"/>
          </w:tcPr>
          <w:p w14:paraId="76D1DB1F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854.74</w:t>
            </w:r>
          </w:p>
        </w:tc>
        <w:tc>
          <w:tcPr>
            <w:tcW w:w="1824" w:type="dxa"/>
            <w:noWrap w:val="0"/>
            <w:vAlign w:val="bottom"/>
          </w:tcPr>
          <w:p w14:paraId="100FD7F0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37.35</w:t>
            </w:r>
          </w:p>
        </w:tc>
      </w:tr>
      <w:tr w14:paraId="54E2C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841" w:type="dxa"/>
            <w:noWrap w:val="0"/>
            <w:vAlign w:val="bottom"/>
          </w:tcPr>
          <w:p w14:paraId="6FA2789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黑色金属矿采选业</w:t>
            </w:r>
          </w:p>
        </w:tc>
        <w:tc>
          <w:tcPr>
            <w:tcW w:w="1702" w:type="dxa"/>
            <w:noWrap w:val="0"/>
            <w:vAlign w:val="bottom"/>
          </w:tcPr>
          <w:p w14:paraId="7A3E51F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万吨</w:t>
            </w:r>
          </w:p>
        </w:tc>
        <w:tc>
          <w:tcPr>
            <w:tcW w:w="1824" w:type="dxa"/>
            <w:noWrap w:val="0"/>
            <w:vAlign w:val="bottom"/>
          </w:tcPr>
          <w:p w14:paraId="270B10C6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600.83</w:t>
            </w:r>
          </w:p>
        </w:tc>
        <w:tc>
          <w:tcPr>
            <w:tcW w:w="1824" w:type="dxa"/>
            <w:noWrap w:val="0"/>
            <w:vAlign w:val="bottom"/>
          </w:tcPr>
          <w:p w14:paraId="53C7623A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26.25</w:t>
            </w:r>
          </w:p>
        </w:tc>
      </w:tr>
      <w:tr w14:paraId="4A842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841" w:type="dxa"/>
            <w:noWrap w:val="0"/>
            <w:vAlign w:val="bottom"/>
          </w:tcPr>
          <w:p w14:paraId="2CA7BD85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电力、热力生产和供应</w:t>
            </w:r>
          </w:p>
        </w:tc>
        <w:tc>
          <w:tcPr>
            <w:tcW w:w="1702" w:type="dxa"/>
            <w:noWrap w:val="0"/>
            <w:vAlign w:val="bottom"/>
          </w:tcPr>
          <w:p w14:paraId="23B4AD46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万吨</w:t>
            </w:r>
          </w:p>
        </w:tc>
        <w:tc>
          <w:tcPr>
            <w:tcW w:w="1824" w:type="dxa"/>
            <w:noWrap w:val="0"/>
            <w:vAlign w:val="bottom"/>
          </w:tcPr>
          <w:p w14:paraId="5856AAFA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251.09</w:t>
            </w:r>
          </w:p>
        </w:tc>
        <w:tc>
          <w:tcPr>
            <w:tcW w:w="1824" w:type="dxa"/>
            <w:noWrap w:val="0"/>
            <w:vAlign w:val="bottom"/>
          </w:tcPr>
          <w:p w14:paraId="1C815DE9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10.97</w:t>
            </w:r>
          </w:p>
        </w:tc>
      </w:tr>
      <w:tr w14:paraId="6EE07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841" w:type="dxa"/>
            <w:noWrap w:val="0"/>
            <w:vAlign w:val="bottom"/>
          </w:tcPr>
          <w:p w14:paraId="11D1F86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有色金属冶炼和压延加工业</w:t>
            </w:r>
          </w:p>
        </w:tc>
        <w:tc>
          <w:tcPr>
            <w:tcW w:w="1702" w:type="dxa"/>
            <w:noWrap w:val="0"/>
            <w:vAlign w:val="bottom"/>
          </w:tcPr>
          <w:p w14:paraId="0764BF7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万吨</w:t>
            </w:r>
          </w:p>
        </w:tc>
        <w:tc>
          <w:tcPr>
            <w:tcW w:w="1824" w:type="dxa"/>
            <w:noWrap w:val="0"/>
            <w:vAlign w:val="bottom"/>
          </w:tcPr>
          <w:p w14:paraId="08EE9FA3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61.96</w:t>
            </w:r>
          </w:p>
        </w:tc>
        <w:tc>
          <w:tcPr>
            <w:tcW w:w="1824" w:type="dxa"/>
            <w:noWrap w:val="0"/>
            <w:vAlign w:val="bottom"/>
          </w:tcPr>
          <w:p w14:paraId="057E74BC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2.7</w:t>
            </w:r>
          </w:p>
        </w:tc>
      </w:tr>
      <w:tr w14:paraId="3B947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841" w:type="dxa"/>
            <w:shd w:val="clear" w:color="auto" w:fill="auto"/>
            <w:noWrap w:val="0"/>
            <w:vAlign w:val="bottom"/>
          </w:tcPr>
          <w:p w14:paraId="577A7C0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医药制造业</w:t>
            </w:r>
          </w:p>
        </w:tc>
        <w:tc>
          <w:tcPr>
            <w:tcW w:w="1702" w:type="dxa"/>
            <w:shd w:val="clear" w:color="auto" w:fill="auto"/>
            <w:noWrap w:val="0"/>
            <w:vAlign w:val="bottom"/>
          </w:tcPr>
          <w:p w14:paraId="55929D5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万吨</w:t>
            </w:r>
          </w:p>
        </w:tc>
        <w:tc>
          <w:tcPr>
            <w:tcW w:w="1824" w:type="dxa"/>
            <w:shd w:val="clear" w:color="auto" w:fill="auto"/>
            <w:noWrap w:val="0"/>
            <w:vAlign w:val="bottom"/>
          </w:tcPr>
          <w:p w14:paraId="2C8C739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54</w:t>
            </w:r>
          </w:p>
        </w:tc>
        <w:tc>
          <w:tcPr>
            <w:tcW w:w="1824" w:type="dxa"/>
            <w:shd w:val="clear" w:color="auto" w:fill="auto"/>
            <w:noWrap w:val="0"/>
            <w:vAlign w:val="bottom"/>
          </w:tcPr>
          <w:p w14:paraId="1AC21A16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2.36</w:t>
            </w:r>
          </w:p>
        </w:tc>
      </w:tr>
    </w:tbl>
    <w:p w14:paraId="1F9236F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6" w:line="576" w:lineRule="exact"/>
        <w:ind w:firstLine="554" w:firstLineChars="200"/>
        <w:jc w:val="center"/>
        <w:textAlignment w:val="baseline"/>
        <w:rPr>
          <w:rFonts w:hint="eastAsia"/>
          <w:lang w:val="en-US" w:eastAsia="en-US"/>
        </w:rPr>
      </w:pPr>
      <w:r>
        <w:rPr>
          <w:rFonts w:hint="eastAsia" w:ascii="黑体" w:hAnsi="黑体" w:eastAsia="黑体" w:cs="黑体"/>
          <w:b/>
          <w:bCs/>
          <w:spacing w:val="18"/>
          <w:sz w:val="24"/>
          <w:szCs w:val="24"/>
          <w:lang w:val="en-US" w:eastAsia="zh-CN"/>
        </w:rPr>
        <w:t>表</w:t>
      </w:r>
      <w:r>
        <w:rPr>
          <w:rFonts w:hint="eastAsia" w:ascii="黑体" w:hAnsi="黑体" w:eastAsia="黑体" w:cs="黑体"/>
          <w:b/>
          <w:bCs/>
          <w:spacing w:val="18"/>
          <w:sz w:val="24"/>
          <w:szCs w:val="24"/>
        </w:rPr>
        <w:t>1</w:t>
      </w:r>
      <w:r>
        <w:rPr>
          <w:rFonts w:hint="eastAsia" w:ascii="黑体" w:hAnsi="黑体" w:eastAsia="黑体" w:cs="黑体"/>
          <w:b/>
          <w:bCs/>
          <w:spacing w:val="18"/>
          <w:sz w:val="24"/>
          <w:szCs w:val="24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bCs/>
          <w:spacing w:val="18"/>
          <w:sz w:val="24"/>
          <w:szCs w:val="24"/>
          <w:lang w:eastAsia="zh-CN"/>
        </w:rPr>
        <w:t>2025年</w:t>
      </w:r>
      <w:r>
        <w:rPr>
          <w:rFonts w:hint="eastAsia" w:ascii="黑体" w:hAnsi="黑体" w:eastAsia="黑体" w:cs="黑体"/>
          <w:b/>
          <w:bCs/>
          <w:spacing w:val="18"/>
          <w:sz w:val="24"/>
          <w:szCs w:val="24"/>
        </w:rPr>
        <w:t>本市主要行业一般工业固体废物产</w:t>
      </w:r>
    </w:p>
    <w:p w14:paraId="3553513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576" w:lineRule="exact"/>
        <w:jc w:val="both"/>
        <w:textAlignment w:val="baseline"/>
        <w:outlineLvl w:val="0"/>
        <w:rPr>
          <w:rFonts w:hint="eastAsia" w:ascii="楷体_GB2312" w:hAnsi="楷体_GB2312" w:eastAsia="楷体_GB2312" w:cs="楷体_GB2312"/>
          <w:b/>
          <w:bCs/>
          <w:spacing w:val="7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pacing w:val="7"/>
          <w:sz w:val="32"/>
          <w:szCs w:val="32"/>
          <w:lang w:val="en-US" w:eastAsia="zh-CN"/>
        </w:rPr>
        <w:t>3.</w:t>
      </w:r>
      <w:r>
        <w:rPr>
          <w:rFonts w:hint="eastAsia" w:ascii="楷体_GB2312" w:hAnsi="楷体_GB2312" w:eastAsia="楷体_GB2312" w:cs="楷体_GB2312"/>
          <w:b/>
          <w:bCs/>
          <w:spacing w:val="7"/>
          <w:sz w:val="32"/>
          <w:szCs w:val="32"/>
        </w:rPr>
        <w:t>主要产生种类</w:t>
      </w:r>
    </w:p>
    <w:p w14:paraId="6276B30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91" w:line="576" w:lineRule="exact"/>
        <w:ind w:firstLine="676" w:firstLineChars="200"/>
        <w:jc w:val="both"/>
        <w:textAlignment w:val="baseline"/>
        <w:outlineLvl w:val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9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9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pacing w:val="9"/>
          <w:sz w:val="32"/>
          <w:szCs w:val="32"/>
        </w:rPr>
        <w:t>一般工业固体废物产生量排名前</w:t>
      </w:r>
      <w:r>
        <w:rPr>
          <w:rFonts w:hint="eastAsia" w:ascii="仿宋_GB2312" w:hAnsi="仿宋_GB2312" w:eastAsia="仿宋_GB2312" w:cs="仿宋_GB2312"/>
          <w:b w:val="0"/>
          <w:bCs w:val="0"/>
          <w:spacing w:val="8"/>
          <w:sz w:val="32"/>
          <w:szCs w:val="32"/>
        </w:rPr>
        <w:t>五的种类依</w:t>
      </w:r>
      <w:r>
        <w:rPr>
          <w:rFonts w:hint="eastAsia" w:ascii="仿宋_GB2312" w:hAnsi="仿宋_GB2312" w:eastAsia="仿宋_GB2312" w:cs="仿宋_GB2312"/>
          <w:b w:val="0"/>
          <w:bCs w:val="0"/>
          <w:spacing w:val="8"/>
          <w:sz w:val="32"/>
          <w:szCs w:val="32"/>
          <w:lang w:val="en-US" w:eastAsia="zh-CN"/>
        </w:rPr>
        <w:t>次</w:t>
      </w:r>
      <w:r>
        <w:rPr>
          <w:rFonts w:hint="eastAsia" w:ascii="仿宋_GB2312" w:hAnsi="仿宋_GB2312" w:eastAsia="仿宋_GB2312" w:cs="仿宋_GB2312"/>
          <w:b w:val="0"/>
          <w:bCs w:val="0"/>
          <w:spacing w:val="8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尾矿</w:t>
      </w:r>
      <w:r>
        <w:rPr>
          <w:rFonts w:hint="eastAsia" w:ascii="仿宋_GB2312" w:hAnsi="仿宋_GB2312" w:eastAsia="仿宋_GB2312" w:cs="仿宋_GB2312"/>
          <w:b w:val="0"/>
          <w:bCs w:val="0"/>
          <w:spacing w:val="14"/>
          <w:sz w:val="32"/>
          <w:szCs w:val="32"/>
        </w:rPr>
        <w:t>、粉煤灰、炉渣、</w:t>
      </w:r>
      <w:r>
        <w:rPr>
          <w:rFonts w:hint="eastAsia" w:ascii="仿宋_GB2312" w:hAnsi="仿宋_GB2312" w:eastAsia="仿宋_GB2312" w:cs="仿宋_GB2312"/>
          <w:b w:val="0"/>
          <w:bCs w:val="0"/>
          <w:spacing w:val="14"/>
          <w:sz w:val="32"/>
          <w:szCs w:val="32"/>
          <w:lang w:val="en-US" w:eastAsia="zh-CN"/>
        </w:rPr>
        <w:t>工业副产</w:t>
      </w:r>
      <w:r>
        <w:rPr>
          <w:rFonts w:hint="eastAsia" w:ascii="仿宋_GB2312" w:hAnsi="仿宋_GB2312" w:eastAsia="仿宋_GB2312" w:cs="仿宋_GB2312"/>
          <w:b w:val="0"/>
          <w:bCs w:val="0"/>
          <w:spacing w:val="14"/>
          <w:sz w:val="32"/>
          <w:szCs w:val="32"/>
        </w:rPr>
        <w:t>石膏</w:t>
      </w:r>
      <w:r>
        <w:rPr>
          <w:rFonts w:hint="eastAsia" w:ascii="仿宋_GB2312" w:hAnsi="仿宋_GB2312" w:eastAsia="仿宋_GB2312" w:cs="仿宋_GB2312"/>
          <w:b w:val="0"/>
          <w:bCs w:val="0"/>
          <w:spacing w:val="14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pacing w:val="8"/>
          <w:sz w:val="32"/>
          <w:szCs w:val="32"/>
        </w:rPr>
        <w:t>其它工业固体废物</w:t>
      </w:r>
      <w:r>
        <w:rPr>
          <w:rFonts w:hint="eastAsia" w:ascii="仿宋_GB2312" w:hAnsi="仿宋_GB2312" w:eastAsia="仿宋_GB2312" w:cs="仿宋_GB2312"/>
          <w:b w:val="0"/>
          <w:bCs w:val="0"/>
          <w:spacing w:val="14"/>
          <w:sz w:val="32"/>
          <w:szCs w:val="32"/>
        </w:rPr>
        <w:t>,产生量分别占全市一般工业固体废物产生总量的</w:t>
      </w:r>
      <w:r>
        <w:rPr>
          <w:rFonts w:hint="eastAsia" w:ascii="仿宋_GB2312" w:hAnsi="仿宋_GB2312" w:eastAsia="仿宋_GB2312" w:cs="仿宋_GB2312"/>
          <w:b w:val="0"/>
          <w:bCs w:val="0"/>
          <w:spacing w:val="14"/>
          <w:sz w:val="32"/>
          <w:szCs w:val="32"/>
          <w:lang w:val="en-US" w:eastAsia="zh-CN"/>
        </w:rPr>
        <w:t>68.91</w:t>
      </w:r>
      <w:r>
        <w:rPr>
          <w:rFonts w:hint="eastAsia" w:ascii="仿宋_GB2312" w:hAnsi="仿宋_GB2312" w:eastAsia="仿宋_GB2312" w:cs="仿宋_GB2312"/>
          <w:b w:val="0"/>
          <w:bCs w:val="0"/>
          <w:spacing w:val="21"/>
          <w:sz w:val="32"/>
          <w:szCs w:val="32"/>
        </w:rPr>
        <w:t>%、</w:t>
      </w:r>
      <w:r>
        <w:rPr>
          <w:rFonts w:hint="eastAsia" w:ascii="仿宋_GB2312" w:hAnsi="仿宋_GB2312" w:eastAsia="仿宋_GB2312" w:cs="仿宋_GB2312"/>
          <w:b w:val="0"/>
          <w:bCs w:val="0"/>
          <w:spacing w:val="21"/>
          <w:sz w:val="32"/>
          <w:szCs w:val="32"/>
          <w:lang w:val="en-US" w:eastAsia="zh-CN"/>
        </w:rPr>
        <w:t>7.82</w:t>
      </w:r>
      <w:r>
        <w:rPr>
          <w:rFonts w:hint="eastAsia" w:ascii="仿宋_GB2312" w:hAnsi="仿宋_GB2312" w:eastAsia="仿宋_GB2312" w:cs="仿宋_GB2312"/>
          <w:b w:val="0"/>
          <w:bCs w:val="0"/>
          <w:spacing w:val="21"/>
          <w:sz w:val="32"/>
          <w:szCs w:val="32"/>
        </w:rPr>
        <w:t>%、</w:t>
      </w:r>
      <w:r>
        <w:rPr>
          <w:rFonts w:hint="eastAsia" w:ascii="仿宋_GB2312" w:hAnsi="仿宋_GB2312" w:eastAsia="仿宋_GB2312" w:cs="仿宋_GB2312"/>
          <w:b w:val="0"/>
          <w:bCs w:val="0"/>
          <w:spacing w:val="21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spacing w:val="21"/>
          <w:sz w:val="32"/>
          <w:szCs w:val="32"/>
        </w:rPr>
        <w:t>%、</w:t>
      </w:r>
      <w:r>
        <w:rPr>
          <w:rFonts w:hint="eastAsia" w:ascii="仿宋_GB2312" w:hAnsi="仿宋_GB2312" w:eastAsia="仿宋_GB2312" w:cs="仿宋_GB2312"/>
          <w:b w:val="0"/>
          <w:bCs w:val="0"/>
          <w:spacing w:val="21"/>
          <w:sz w:val="32"/>
          <w:szCs w:val="32"/>
          <w:lang w:val="en-US" w:eastAsia="zh-CN"/>
        </w:rPr>
        <w:t>5.76</w:t>
      </w:r>
      <w:r>
        <w:rPr>
          <w:rFonts w:hint="eastAsia" w:ascii="仿宋_GB2312" w:hAnsi="仿宋_GB2312" w:eastAsia="仿宋_GB2312" w:cs="仿宋_GB2312"/>
          <w:b w:val="0"/>
          <w:bCs w:val="0"/>
          <w:spacing w:val="21"/>
          <w:sz w:val="32"/>
          <w:szCs w:val="32"/>
        </w:rPr>
        <w:t>%、</w:t>
      </w:r>
      <w:r>
        <w:rPr>
          <w:rFonts w:hint="eastAsia" w:ascii="仿宋_GB2312" w:hAnsi="仿宋_GB2312" w:eastAsia="仿宋_GB2312" w:cs="仿宋_GB2312"/>
          <w:b w:val="0"/>
          <w:bCs w:val="0"/>
          <w:spacing w:val="21"/>
          <w:sz w:val="32"/>
          <w:szCs w:val="32"/>
          <w:lang w:val="en-US" w:eastAsia="zh-CN"/>
        </w:rPr>
        <w:t>3.03</w:t>
      </w:r>
      <w:r>
        <w:rPr>
          <w:rFonts w:hint="eastAsia" w:ascii="仿宋_GB2312" w:hAnsi="仿宋_GB2312" w:eastAsia="仿宋_GB2312" w:cs="仿宋_GB2312"/>
          <w:b w:val="0"/>
          <w:bCs w:val="0"/>
          <w:spacing w:val="21"/>
          <w:sz w:val="32"/>
          <w:szCs w:val="32"/>
        </w:rPr>
        <w:t>%,详细情况见表</w:t>
      </w:r>
      <w:r>
        <w:rPr>
          <w:rFonts w:hint="eastAsia" w:ascii="仿宋_GB2312" w:hAnsi="仿宋_GB2312" w:eastAsia="仿宋_GB2312" w:cs="仿宋_GB2312"/>
          <w:b w:val="0"/>
          <w:bCs w:val="0"/>
          <w:spacing w:val="21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pacing w:val="21"/>
          <w:sz w:val="32"/>
          <w:szCs w:val="32"/>
        </w:rPr>
        <w:t>。</w:t>
      </w:r>
    </w:p>
    <w:p w14:paraId="599F7430">
      <w:pPr>
        <w:spacing w:before="66" w:line="222" w:lineRule="auto"/>
        <w:jc w:val="center"/>
        <w:rPr>
          <w:rFonts w:hint="eastAsia" w:ascii="黑体" w:hAnsi="黑体" w:eastAsia="黑体" w:cs="黑体"/>
          <w:b/>
          <w:bCs/>
          <w:spacing w:val="18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pacing w:val="18"/>
          <w:sz w:val="24"/>
          <w:szCs w:val="24"/>
        </w:rPr>
        <w:t>表</w:t>
      </w:r>
      <w:r>
        <w:rPr>
          <w:rFonts w:hint="eastAsia" w:ascii="黑体" w:hAnsi="黑体" w:eastAsia="黑体" w:cs="黑体"/>
          <w:b/>
          <w:bCs/>
          <w:spacing w:val="18"/>
          <w:sz w:val="24"/>
          <w:szCs w:val="24"/>
          <w:lang w:val="en-US" w:eastAsia="zh-CN"/>
        </w:rPr>
        <w:t>2</w:t>
      </w:r>
      <w:r>
        <w:rPr>
          <w:rFonts w:hint="eastAsia" w:ascii="黑体" w:hAnsi="黑体" w:eastAsia="黑体" w:cs="黑体"/>
          <w:b/>
          <w:bCs/>
          <w:spacing w:val="18"/>
          <w:sz w:val="24"/>
          <w:szCs w:val="24"/>
        </w:rPr>
        <w:t xml:space="preserve"> 一般工业固体废物主要种类产生、利用及处置情况</w:t>
      </w:r>
    </w:p>
    <w:tbl>
      <w:tblPr>
        <w:tblStyle w:val="6"/>
        <w:tblpPr w:leftFromText="180" w:rightFromText="180" w:vertAnchor="text" w:horzAnchor="page" w:tblpX="1734" w:tblpY="191"/>
        <w:tblW w:w="8683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2108"/>
        <w:gridCol w:w="852"/>
        <w:gridCol w:w="1266"/>
        <w:gridCol w:w="1518"/>
        <w:gridCol w:w="1153"/>
        <w:gridCol w:w="1786"/>
      </w:tblGrid>
      <w:tr w14:paraId="5D06E2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84" w:hRule="atLeast"/>
        </w:trPr>
        <w:tc>
          <w:tcPr>
            <w:tcW w:w="210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39D85E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指  标</w:t>
            </w:r>
          </w:p>
        </w:tc>
        <w:tc>
          <w:tcPr>
            <w:tcW w:w="85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70B742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尾矿</w:t>
            </w:r>
          </w:p>
        </w:tc>
        <w:tc>
          <w:tcPr>
            <w:tcW w:w="126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 w14:paraId="47E1E3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粉煤灰</w:t>
            </w:r>
          </w:p>
        </w:tc>
        <w:tc>
          <w:tcPr>
            <w:tcW w:w="151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8BC682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工业副产石膏</w:t>
            </w:r>
          </w:p>
        </w:tc>
        <w:tc>
          <w:tcPr>
            <w:tcW w:w="115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6313B6E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炉渣</w:t>
            </w:r>
          </w:p>
        </w:tc>
        <w:tc>
          <w:tcPr>
            <w:tcW w:w="178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 w14:paraId="10FE447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冶炼废渣</w:t>
            </w:r>
          </w:p>
        </w:tc>
      </w:tr>
      <w:tr w14:paraId="383570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84" w:hRule="atLeast"/>
        </w:trPr>
        <w:tc>
          <w:tcPr>
            <w:tcW w:w="21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8D95C6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产生量（万吨）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BAFA26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1577.07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 w14:paraId="0A42F5AB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178.95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7A845C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160.09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BA2201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102.59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 w14:paraId="015FCEC3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69.36</w:t>
            </w:r>
          </w:p>
        </w:tc>
      </w:tr>
      <w:tr w14:paraId="5112F3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84" w:hRule="atLeast"/>
        </w:trPr>
        <w:tc>
          <w:tcPr>
            <w:tcW w:w="21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365E6A0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占总量比例（%）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7968B80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68.91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 w14:paraId="4B700EBE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7.82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633AFB5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FE5104E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5.76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 w14:paraId="0D7D45D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Arial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3.03</w:t>
            </w:r>
          </w:p>
        </w:tc>
      </w:tr>
      <w:tr w14:paraId="2B43480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84" w:hRule="atLeast"/>
        </w:trPr>
        <w:tc>
          <w:tcPr>
            <w:tcW w:w="21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ED3908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综合利用量（万吨）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589B8E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265.36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 w14:paraId="5253517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84.5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B0492BB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0.01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760D7F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18.7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 w14:paraId="57BE3693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Arial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64.68</w:t>
            </w:r>
          </w:p>
        </w:tc>
      </w:tr>
      <w:tr w14:paraId="48371B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84" w:hRule="atLeast"/>
        </w:trPr>
        <w:tc>
          <w:tcPr>
            <w:tcW w:w="2108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 w14:paraId="06936C8C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综合利用率（%）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 w14:paraId="07CA050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11.6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5D10110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47.22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 w14:paraId="6C15B76B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0.01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 w14:paraId="349E6DA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18.23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 w14:paraId="36837A33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Arial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93.25</w:t>
            </w:r>
          </w:p>
        </w:tc>
      </w:tr>
    </w:tbl>
    <w:p w14:paraId="3967BFF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 危险废物</w:t>
      </w:r>
    </w:p>
    <w:p w14:paraId="2B435FE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3" w:firstLineChars="200"/>
        <w:textAlignment w:val="baseline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1.产生、利用及处置情况</w:t>
      </w:r>
    </w:p>
    <w:p w14:paraId="5C4FE41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，本市危险废物产生量594801.46吨，利用量为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544408.5</w:t>
      </w:r>
      <w:r>
        <w:rPr>
          <w:rFonts w:hint="eastAsia" w:ascii="仿宋_GB2312" w:hAnsi="仿宋_GB2312" w:eastAsia="仿宋_GB2312" w:cs="仿宋_GB2312"/>
          <w:sz w:val="32"/>
          <w:szCs w:val="32"/>
        </w:rPr>
        <w:t>吨,利用率为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91.53</w:t>
      </w:r>
      <w:r>
        <w:rPr>
          <w:rFonts w:hint="eastAsia" w:ascii="仿宋_GB2312" w:hAnsi="仿宋_GB2312" w:eastAsia="仿宋_GB2312" w:cs="仿宋_GB2312"/>
          <w:sz w:val="32"/>
          <w:szCs w:val="32"/>
        </w:rPr>
        <w:t>%; 处置量为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66236.7</w:t>
      </w:r>
      <w:r>
        <w:rPr>
          <w:rFonts w:hint="eastAsia" w:ascii="仿宋_GB2312" w:hAnsi="仿宋_GB2312" w:eastAsia="仿宋_GB2312" w:cs="仿宋_GB2312"/>
          <w:sz w:val="32"/>
          <w:szCs w:val="32"/>
        </w:rPr>
        <w:t>吨,处置率为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11.14</w:t>
      </w:r>
      <w:r>
        <w:rPr>
          <w:rFonts w:hint="eastAsia" w:ascii="仿宋_GB2312" w:hAnsi="仿宋_GB2312" w:eastAsia="仿宋_GB2312" w:cs="仿宋_GB2312"/>
          <w:sz w:val="32"/>
          <w:szCs w:val="32"/>
        </w:rPr>
        <w:t>%;贮存量为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8465.93</w:t>
      </w:r>
      <w:r>
        <w:rPr>
          <w:rFonts w:hint="eastAsia" w:ascii="仿宋_GB2312" w:hAnsi="仿宋_GB2312" w:eastAsia="仿宋_GB2312" w:cs="仿宋_GB2312"/>
          <w:sz w:val="32"/>
          <w:szCs w:val="32"/>
        </w:rPr>
        <w:t>吨。</w:t>
      </w:r>
    </w:p>
    <w:p w14:paraId="3397A7E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，全市医疗废物产生量为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1339.04</w:t>
      </w:r>
      <w:r>
        <w:rPr>
          <w:rFonts w:hint="eastAsia" w:ascii="仿宋_GB2312" w:hAnsi="仿宋_GB2312" w:eastAsia="仿宋_GB2312" w:cs="仿宋_GB2312"/>
          <w:sz w:val="32"/>
          <w:szCs w:val="32"/>
        </w:rPr>
        <w:t>吨，采取高温蒸煮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焚烧</w:t>
      </w:r>
      <w:r>
        <w:rPr>
          <w:rFonts w:hint="eastAsia" w:ascii="仿宋_GB2312" w:hAnsi="仿宋_GB2312" w:eastAsia="仿宋_GB2312" w:cs="仿宋_GB2312"/>
          <w:sz w:val="32"/>
          <w:szCs w:val="32"/>
        </w:rPr>
        <w:t>的方式进行集中处置，集中处置率为100%。</w:t>
      </w:r>
    </w:p>
    <w:p w14:paraId="1313A1A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3" w:firstLineChars="200"/>
        <w:textAlignment w:val="baseline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行业产生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情况</w:t>
      </w:r>
    </w:p>
    <w:p w14:paraId="1A0CE31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，本市危险废物产生量排名前五的行业依次为医药制造业、有色金属冶炼和压延加工业、石油煤炭及其他燃料加工业、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废弃资源综合利用业、生态保护和环境治理业</w:t>
      </w:r>
      <w:r>
        <w:rPr>
          <w:rFonts w:hint="eastAsia" w:ascii="仿宋_GB2312" w:hAnsi="仿宋_GB2312" w:eastAsia="仿宋_GB2312" w:cs="仿宋_GB2312"/>
          <w:sz w:val="32"/>
          <w:szCs w:val="32"/>
        </w:rPr>
        <w:t>,  分别占全市危险废物产生总量的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46.6</w:t>
      </w:r>
      <w:r>
        <w:rPr>
          <w:rFonts w:hint="eastAsia" w:ascii="仿宋_GB2312" w:hAnsi="仿宋_GB2312" w:eastAsia="仿宋_GB2312" w:cs="仿宋_GB2312"/>
          <w:sz w:val="32"/>
          <w:szCs w:val="32"/>
        </w:rPr>
        <w:t>%、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23.1</w:t>
      </w:r>
      <w:r>
        <w:rPr>
          <w:rFonts w:hint="eastAsia" w:ascii="仿宋_GB2312" w:hAnsi="仿宋_GB2312" w:eastAsia="仿宋_GB2312" w:cs="仿宋_GB2312"/>
          <w:sz w:val="32"/>
          <w:szCs w:val="32"/>
        </w:rPr>
        <w:t>%、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21.84</w:t>
      </w:r>
      <w:r>
        <w:rPr>
          <w:rFonts w:hint="eastAsia" w:ascii="仿宋_GB2312" w:hAnsi="仿宋_GB2312" w:eastAsia="仿宋_GB2312" w:cs="仿宋_GB2312"/>
          <w:sz w:val="32"/>
          <w:szCs w:val="32"/>
        </w:rPr>
        <w:t>%、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2.95</w:t>
      </w:r>
      <w:r>
        <w:rPr>
          <w:rFonts w:hint="eastAsia" w:ascii="仿宋_GB2312" w:hAnsi="仿宋_GB2312" w:eastAsia="仿宋_GB2312" w:cs="仿宋_GB2312"/>
          <w:sz w:val="32"/>
          <w:szCs w:val="32"/>
        </w:rPr>
        <w:t>%、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1.67</w:t>
      </w:r>
      <w:r>
        <w:rPr>
          <w:rFonts w:hint="eastAsia" w:ascii="仿宋_GB2312" w:hAnsi="仿宋_GB2312" w:eastAsia="仿宋_GB2312" w:cs="仿宋_GB2312"/>
          <w:sz w:val="32"/>
          <w:szCs w:val="32"/>
        </w:rPr>
        <w:t>%,详细情况见表3。</w:t>
      </w:r>
    </w:p>
    <w:p w14:paraId="03A794F6">
      <w:pPr>
        <w:spacing w:before="66" w:line="222" w:lineRule="auto"/>
        <w:jc w:val="center"/>
        <w:rPr>
          <w:rFonts w:hint="eastAsia" w:ascii="黑体" w:hAnsi="黑体" w:eastAsia="黑体" w:cs="黑体"/>
          <w:b/>
          <w:bCs/>
          <w:spacing w:val="18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pacing w:val="18"/>
          <w:sz w:val="24"/>
          <w:szCs w:val="24"/>
          <w:lang w:val="en-US" w:eastAsia="zh-CN"/>
        </w:rPr>
        <w:t xml:space="preserve">表3 </w:t>
      </w:r>
      <w:r>
        <w:rPr>
          <w:rFonts w:hint="eastAsia" w:ascii="黑体" w:hAnsi="黑体" w:eastAsia="黑体" w:cs="黑体"/>
          <w:b/>
          <w:bCs/>
          <w:spacing w:val="18"/>
          <w:sz w:val="24"/>
          <w:szCs w:val="24"/>
          <w:lang w:eastAsia="zh-CN"/>
        </w:rPr>
        <w:t>2025年</w:t>
      </w:r>
      <w:r>
        <w:rPr>
          <w:rFonts w:hint="eastAsia" w:ascii="黑体" w:hAnsi="黑体" w:eastAsia="黑体" w:cs="黑体"/>
          <w:b/>
          <w:bCs/>
          <w:spacing w:val="18"/>
          <w:sz w:val="24"/>
          <w:szCs w:val="24"/>
        </w:rPr>
        <w:t>本市主要行业危险废物产生情况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1"/>
        <w:gridCol w:w="1702"/>
        <w:gridCol w:w="1824"/>
        <w:gridCol w:w="1824"/>
      </w:tblGrid>
      <w:tr w14:paraId="35F33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841" w:type="dxa"/>
            <w:noWrap w:val="0"/>
            <w:vAlign w:val="bottom"/>
          </w:tcPr>
          <w:p w14:paraId="26AEF56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行业名称</w:t>
            </w:r>
          </w:p>
        </w:tc>
        <w:tc>
          <w:tcPr>
            <w:tcW w:w="1702" w:type="dxa"/>
            <w:noWrap w:val="0"/>
            <w:vAlign w:val="bottom"/>
          </w:tcPr>
          <w:p w14:paraId="3213BA9C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单位</w:t>
            </w:r>
          </w:p>
        </w:tc>
        <w:tc>
          <w:tcPr>
            <w:tcW w:w="1824" w:type="dxa"/>
            <w:noWrap w:val="0"/>
            <w:vAlign w:val="bottom"/>
          </w:tcPr>
          <w:p w14:paraId="60987C4E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产生量</w:t>
            </w:r>
          </w:p>
        </w:tc>
        <w:tc>
          <w:tcPr>
            <w:tcW w:w="1824" w:type="dxa"/>
            <w:noWrap w:val="0"/>
            <w:vAlign w:val="bottom"/>
          </w:tcPr>
          <w:p w14:paraId="334BAD15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占总量比例（%）</w:t>
            </w:r>
          </w:p>
        </w:tc>
      </w:tr>
      <w:tr w14:paraId="15142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841" w:type="dxa"/>
            <w:shd w:val="clear" w:color="auto" w:fill="auto"/>
            <w:noWrap w:val="0"/>
            <w:vAlign w:val="bottom"/>
          </w:tcPr>
          <w:p w14:paraId="03F35C47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Arial" w:cs="Arial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医药制造业</w:t>
            </w:r>
          </w:p>
        </w:tc>
        <w:tc>
          <w:tcPr>
            <w:tcW w:w="1702" w:type="dxa"/>
            <w:shd w:val="clear" w:color="auto" w:fill="auto"/>
            <w:noWrap w:val="0"/>
            <w:vAlign w:val="bottom"/>
          </w:tcPr>
          <w:p w14:paraId="55CD22C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/>
                <w:szCs w:val="21"/>
              </w:rPr>
              <w:t>吨</w:t>
            </w:r>
          </w:p>
        </w:tc>
        <w:tc>
          <w:tcPr>
            <w:tcW w:w="1824" w:type="dxa"/>
            <w:shd w:val="clear" w:color="auto" w:fill="auto"/>
            <w:noWrap w:val="0"/>
            <w:vAlign w:val="bottom"/>
          </w:tcPr>
          <w:p w14:paraId="24526B7F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277186.43</w:t>
            </w:r>
          </w:p>
        </w:tc>
        <w:tc>
          <w:tcPr>
            <w:tcW w:w="1824" w:type="dxa"/>
            <w:shd w:val="clear" w:color="auto" w:fill="auto"/>
            <w:noWrap w:val="0"/>
            <w:vAlign w:val="bottom"/>
          </w:tcPr>
          <w:p w14:paraId="3DE69E1A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46.6</w:t>
            </w:r>
          </w:p>
        </w:tc>
      </w:tr>
      <w:tr w14:paraId="786A3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841" w:type="dxa"/>
            <w:shd w:val="clear" w:color="auto" w:fill="auto"/>
            <w:noWrap w:val="0"/>
            <w:vAlign w:val="bottom"/>
          </w:tcPr>
          <w:p w14:paraId="68437C1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有色金属冶炼和压延加工业</w:t>
            </w:r>
          </w:p>
        </w:tc>
        <w:tc>
          <w:tcPr>
            <w:tcW w:w="1702" w:type="dxa"/>
            <w:shd w:val="clear" w:color="auto" w:fill="auto"/>
            <w:noWrap w:val="0"/>
            <w:vAlign w:val="bottom"/>
          </w:tcPr>
          <w:p w14:paraId="14E67444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吨</w:t>
            </w:r>
          </w:p>
        </w:tc>
        <w:tc>
          <w:tcPr>
            <w:tcW w:w="1824" w:type="dxa"/>
            <w:shd w:val="clear" w:color="auto" w:fill="auto"/>
            <w:noWrap w:val="0"/>
            <w:vAlign w:val="bottom"/>
          </w:tcPr>
          <w:p w14:paraId="3BFC1677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137395.16</w:t>
            </w:r>
          </w:p>
        </w:tc>
        <w:tc>
          <w:tcPr>
            <w:tcW w:w="1824" w:type="dxa"/>
            <w:shd w:val="clear" w:color="auto" w:fill="auto"/>
            <w:noWrap w:val="0"/>
            <w:vAlign w:val="bottom"/>
          </w:tcPr>
          <w:p w14:paraId="31B17855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23.1</w:t>
            </w:r>
          </w:p>
        </w:tc>
      </w:tr>
      <w:tr w14:paraId="514F2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841" w:type="dxa"/>
            <w:shd w:val="clear" w:color="auto" w:fill="auto"/>
            <w:noWrap w:val="0"/>
            <w:vAlign w:val="bottom"/>
          </w:tcPr>
          <w:p w14:paraId="10B5D9DA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石油煤炭及其他燃料加工业</w:t>
            </w:r>
          </w:p>
        </w:tc>
        <w:tc>
          <w:tcPr>
            <w:tcW w:w="1702" w:type="dxa"/>
            <w:shd w:val="clear" w:color="auto" w:fill="auto"/>
            <w:noWrap w:val="0"/>
            <w:vAlign w:val="bottom"/>
          </w:tcPr>
          <w:p w14:paraId="2075F9D4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吨</w:t>
            </w:r>
          </w:p>
        </w:tc>
        <w:tc>
          <w:tcPr>
            <w:tcW w:w="1824" w:type="dxa"/>
            <w:shd w:val="clear" w:color="auto" w:fill="auto"/>
            <w:noWrap w:val="0"/>
            <w:vAlign w:val="bottom"/>
          </w:tcPr>
          <w:p w14:paraId="3D5783DF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129916.86</w:t>
            </w:r>
          </w:p>
        </w:tc>
        <w:tc>
          <w:tcPr>
            <w:tcW w:w="1824" w:type="dxa"/>
            <w:shd w:val="clear" w:color="auto" w:fill="auto"/>
            <w:noWrap w:val="0"/>
            <w:vAlign w:val="bottom"/>
          </w:tcPr>
          <w:p w14:paraId="32E60FC7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21.84</w:t>
            </w:r>
          </w:p>
        </w:tc>
      </w:tr>
      <w:tr w14:paraId="323F3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841" w:type="dxa"/>
            <w:shd w:val="clear" w:color="auto" w:fill="auto"/>
            <w:noWrap w:val="0"/>
            <w:vAlign w:val="bottom"/>
          </w:tcPr>
          <w:p w14:paraId="60899CB9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Arial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废弃资源综合利用业</w:t>
            </w:r>
          </w:p>
        </w:tc>
        <w:tc>
          <w:tcPr>
            <w:tcW w:w="1702" w:type="dxa"/>
            <w:shd w:val="clear" w:color="auto" w:fill="auto"/>
            <w:noWrap w:val="0"/>
            <w:vAlign w:val="bottom"/>
          </w:tcPr>
          <w:p w14:paraId="11CA848B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吨</w:t>
            </w:r>
          </w:p>
        </w:tc>
        <w:tc>
          <w:tcPr>
            <w:tcW w:w="1824" w:type="dxa"/>
            <w:shd w:val="clear" w:color="auto" w:fill="auto"/>
            <w:noWrap w:val="0"/>
            <w:vAlign w:val="bottom"/>
          </w:tcPr>
          <w:p w14:paraId="3E84570B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17555.04</w:t>
            </w:r>
          </w:p>
        </w:tc>
        <w:tc>
          <w:tcPr>
            <w:tcW w:w="1824" w:type="dxa"/>
            <w:shd w:val="clear" w:color="auto" w:fill="auto"/>
            <w:noWrap w:val="0"/>
            <w:vAlign w:val="bottom"/>
          </w:tcPr>
          <w:p w14:paraId="08DC9C45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2.95</w:t>
            </w:r>
          </w:p>
        </w:tc>
      </w:tr>
      <w:tr w14:paraId="1399B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841" w:type="dxa"/>
            <w:noWrap w:val="0"/>
            <w:vAlign w:val="bottom"/>
          </w:tcPr>
          <w:p w14:paraId="05390BC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生态保护和环境治理业</w:t>
            </w:r>
          </w:p>
        </w:tc>
        <w:tc>
          <w:tcPr>
            <w:tcW w:w="1702" w:type="dxa"/>
            <w:noWrap w:val="0"/>
            <w:vAlign w:val="bottom"/>
          </w:tcPr>
          <w:p w14:paraId="06D7ADF8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吨</w:t>
            </w:r>
          </w:p>
        </w:tc>
        <w:tc>
          <w:tcPr>
            <w:tcW w:w="1824" w:type="dxa"/>
            <w:noWrap w:val="0"/>
            <w:vAlign w:val="bottom"/>
          </w:tcPr>
          <w:p w14:paraId="332499DE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9936.12</w:t>
            </w:r>
          </w:p>
        </w:tc>
        <w:tc>
          <w:tcPr>
            <w:tcW w:w="1824" w:type="dxa"/>
            <w:noWrap w:val="0"/>
            <w:vAlign w:val="bottom"/>
          </w:tcPr>
          <w:p w14:paraId="5C46EFAD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1.67</w:t>
            </w:r>
          </w:p>
        </w:tc>
      </w:tr>
    </w:tbl>
    <w:p w14:paraId="7BF5002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3" w:firstLineChars="200"/>
        <w:textAlignment w:val="baseline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3.主要产生种类</w:t>
      </w:r>
    </w:p>
    <w:p w14:paraId="654BDAC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20" w:line="360" w:lineRule="auto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2025年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，危险废物产生量排名前五的种类依次为医药废物(HW02)、有色金属冶炼废物(HW48)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精（蒸）馏残渣(HW11)、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焚烧处置残渣(HW18)和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废矿物油与含矿物油废物(HW08)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, 产生量分别占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全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市危险废物产生总量的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44.34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%、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25.94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%、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23.5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%、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2.94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%、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1.59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%,详细情况见表4。</w:t>
      </w:r>
    </w:p>
    <w:p w14:paraId="4B8D431A">
      <w:pPr>
        <w:spacing w:before="66" w:line="222" w:lineRule="auto"/>
        <w:jc w:val="center"/>
        <w:rPr>
          <w:rFonts w:hint="eastAsia" w:ascii="黑体" w:hAnsi="黑体" w:eastAsia="黑体" w:cs="黑体"/>
          <w:b/>
          <w:bCs/>
          <w:spacing w:val="18"/>
          <w:sz w:val="24"/>
          <w:szCs w:val="24"/>
          <w:lang w:val="en-US" w:eastAsia="en-US"/>
        </w:rPr>
      </w:pPr>
      <w:r>
        <w:rPr>
          <w:rFonts w:hint="eastAsia" w:ascii="黑体" w:hAnsi="黑体" w:eastAsia="黑体" w:cs="黑体"/>
          <w:b/>
          <w:bCs/>
          <w:spacing w:val="18"/>
          <w:sz w:val="24"/>
          <w:szCs w:val="24"/>
          <w:lang w:val="en-US" w:eastAsia="en-US"/>
        </w:rPr>
        <w:t>表</w:t>
      </w:r>
      <w:r>
        <w:rPr>
          <w:rFonts w:hint="eastAsia" w:ascii="黑体" w:hAnsi="黑体" w:eastAsia="黑体" w:cs="黑体"/>
          <w:b/>
          <w:bCs/>
          <w:spacing w:val="18"/>
          <w:sz w:val="24"/>
          <w:szCs w:val="24"/>
          <w:lang w:val="en-US" w:eastAsia="zh-CN"/>
        </w:rPr>
        <w:t xml:space="preserve">4 </w:t>
      </w:r>
      <w:r>
        <w:rPr>
          <w:rFonts w:hint="eastAsia" w:ascii="黑体" w:hAnsi="黑体" w:eastAsia="黑体" w:cs="黑体"/>
          <w:b/>
          <w:bCs/>
          <w:spacing w:val="18"/>
          <w:sz w:val="24"/>
          <w:szCs w:val="24"/>
          <w:lang w:val="en-US" w:eastAsia="en-US"/>
        </w:rPr>
        <w:t>危险废物主要种类产生、利用及处置情况</w:t>
      </w:r>
    </w:p>
    <w:tbl>
      <w:tblPr>
        <w:tblStyle w:val="6"/>
        <w:tblpPr w:leftFromText="180" w:rightFromText="180" w:vertAnchor="text" w:horzAnchor="page" w:tblpX="1494" w:tblpY="64"/>
        <w:tblW w:w="868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926"/>
        <w:gridCol w:w="1351"/>
        <w:gridCol w:w="1354"/>
        <w:gridCol w:w="1351"/>
        <w:gridCol w:w="1226"/>
        <w:gridCol w:w="1476"/>
      </w:tblGrid>
      <w:tr w14:paraId="01DB1F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36" w:hRule="atLeast"/>
          <w:jc w:val="center"/>
        </w:trPr>
        <w:tc>
          <w:tcPr>
            <w:tcW w:w="192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83F8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指  标</w:t>
            </w:r>
          </w:p>
        </w:tc>
        <w:tc>
          <w:tcPr>
            <w:tcW w:w="135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76A2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医药</w:t>
            </w:r>
            <w:r>
              <w:rPr>
                <w:rFonts w:hint="eastAsia" w:ascii="宋体" w:hAnsi="宋体" w:cs="宋体"/>
                <w:szCs w:val="21"/>
              </w:rPr>
              <w:t>废物(HW02)</w:t>
            </w:r>
          </w:p>
        </w:tc>
        <w:tc>
          <w:tcPr>
            <w:tcW w:w="135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6A628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有色金属冶炼废物(HW48)</w:t>
            </w:r>
          </w:p>
        </w:tc>
        <w:tc>
          <w:tcPr>
            <w:tcW w:w="135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E778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精（蒸）馏残渣(HW11)</w:t>
            </w:r>
          </w:p>
        </w:tc>
        <w:tc>
          <w:tcPr>
            <w:tcW w:w="122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963BE8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Arial" w:cs="宋体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焚烧处置残渣(HW18)</w:t>
            </w:r>
          </w:p>
        </w:tc>
        <w:tc>
          <w:tcPr>
            <w:tcW w:w="147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FB27E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废矿物油与含矿物油废物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(HW08)</w:t>
            </w:r>
          </w:p>
        </w:tc>
      </w:tr>
      <w:tr w14:paraId="03FD9D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84" w:hRule="atLeast"/>
          <w:jc w:val="center"/>
        </w:trPr>
        <w:tc>
          <w:tcPr>
            <w:tcW w:w="19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C3F7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产生量（吨）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44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263743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0A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154299.02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45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139765.33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260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17462.61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49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9444.49</w:t>
            </w:r>
          </w:p>
        </w:tc>
      </w:tr>
      <w:tr w14:paraId="1640B5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84" w:hRule="atLeast"/>
          <w:jc w:val="center"/>
        </w:trPr>
        <w:tc>
          <w:tcPr>
            <w:tcW w:w="19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7B106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自行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利用</w:t>
            </w: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处置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量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6E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11895.92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CD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37481.77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55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130914.22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940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15971.37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69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9D4E7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84" w:hRule="atLeast"/>
          <w:jc w:val="center"/>
        </w:trPr>
        <w:tc>
          <w:tcPr>
            <w:tcW w:w="19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64145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占总量比例（%）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A2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4.51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F2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24.29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67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93.67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30F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91.46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84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15466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84" w:hRule="atLeast"/>
          <w:jc w:val="center"/>
        </w:trPr>
        <w:tc>
          <w:tcPr>
            <w:tcW w:w="19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4138B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贮存量（吨）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69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BE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5525.42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C1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25.98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70D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2069.95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93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114.37</w:t>
            </w:r>
          </w:p>
        </w:tc>
      </w:tr>
      <w:tr w14:paraId="0110C62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84" w:hRule="atLeast"/>
          <w:jc w:val="center"/>
        </w:trPr>
        <w:tc>
          <w:tcPr>
            <w:tcW w:w="19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D0476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占总量比例（%）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38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7B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3.58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04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9BF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11.85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7B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</w:t>
            </w:r>
          </w:p>
        </w:tc>
      </w:tr>
      <w:tr w14:paraId="0E87A1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84" w:hRule="atLeast"/>
          <w:jc w:val="center"/>
        </w:trPr>
        <w:tc>
          <w:tcPr>
            <w:tcW w:w="19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DE13C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委外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处置</w:t>
            </w: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利用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量（吨）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EA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252843.98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3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126141.52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EB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8888.29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476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8125.87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99BB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9403.41</w:t>
            </w:r>
          </w:p>
        </w:tc>
      </w:tr>
      <w:tr w14:paraId="4E590A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84" w:hRule="atLeast"/>
          <w:jc w:val="center"/>
        </w:trPr>
        <w:tc>
          <w:tcPr>
            <w:tcW w:w="19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5E3D6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占总量比例（%）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41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95.87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52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81.75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5A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6.36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0AC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46.53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2B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99.57</w:t>
            </w:r>
          </w:p>
        </w:tc>
      </w:tr>
    </w:tbl>
    <w:p w14:paraId="3273109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3" w:firstLineChars="200"/>
        <w:textAlignment w:val="baseline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4.危险废物转移情况</w:t>
      </w:r>
    </w:p>
    <w:p w14:paraId="1629C6E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2025年，本市运行危险废物联单转移量107.94万吨，其中转入本市65.75万吨，移出本市42.19万吨。</w:t>
      </w:r>
    </w:p>
    <w:p w14:paraId="5E316E3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3" w:firstLineChars="200"/>
        <w:textAlignment w:val="baseline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5.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危险废物许可证颁发情况</w:t>
      </w:r>
    </w:p>
    <w:p w14:paraId="053CEC1F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，本市共有21家危险废物(含医疗废物)许可证持证单位，核准收集、利用、处置、贮存危险废物种类为HW01、02、03、04、05、06、07、08、09、11、12、13、14、16、17、18、19、21、22、23、24、31、32、33、34、35、36、37、38、39、40、47、48、49、50，核准收集、利用、处置、贮存能力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到139.14万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吨/年，实际收集、利用、处置、贮存危险废物种类为HW01、02、03、04、05、06、07、08、09、11、12、13、14、16、17、18、19、21、22、23、24、31、32、33、34、35、37、38、39、40、47、48、49、50，实际收集、利用、处置、贮存量为50.21万吨。本市危险废物许可证持证单位情况见表5。</w:t>
      </w:r>
    </w:p>
    <w:p w14:paraId="15DDE934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2025年，共颁发危险废物许可证用于处置医疗废物1份，核准处置能力7300吨/年，实际处置量1339.04吨。</w:t>
      </w:r>
    </w:p>
    <w:p w14:paraId="7C817196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76" w:lineRule="exact"/>
        <w:ind w:firstLine="573"/>
        <w:jc w:val="center"/>
        <w:textAlignment w:val="baseline"/>
        <w:rPr>
          <w:rFonts w:hint="eastAsia" w:ascii="黑体" w:hAnsi="Times New Roman" w:eastAsia="黑体" w:cs="Times New Roman"/>
          <w:b/>
          <w:bCs/>
          <w:kern w:val="2"/>
        </w:rPr>
      </w:pPr>
      <w:r>
        <w:rPr>
          <w:rFonts w:hint="eastAsia" w:ascii="仿宋_GB2312" w:hAnsi="ˎ̥" w:eastAsia="仿宋_GB2312"/>
          <w:sz w:val="28"/>
          <w:szCs w:val="28"/>
        </w:rPr>
        <w:t xml:space="preserve"> </w:t>
      </w:r>
      <w:r>
        <w:rPr>
          <w:rFonts w:hint="eastAsia" w:ascii="黑体" w:hAnsi="Times New Roman" w:eastAsia="黑体" w:cs="Times New Roman"/>
          <w:b/>
          <w:bCs/>
          <w:kern w:val="2"/>
        </w:rPr>
        <w:t>表</w:t>
      </w:r>
      <w:r>
        <w:rPr>
          <w:rFonts w:hint="eastAsia" w:ascii="黑体" w:hAnsi="Times New Roman" w:eastAsia="黑体" w:cs="Times New Roman"/>
          <w:b/>
          <w:bCs/>
          <w:kern w:val="2"/>
          <w:lang w:val="en-US" w:eastAsia="zh-CN"/>
        </w:rPr>
        <w:t xml:space="preserve">5 </w:t>
      </w:r>
      <w:r>
        <w:rPr>
          <w:rFonts w:hint="eastAsia" w:ascii="黑体" w:hAnsi="Times New Roman" w:eastAsia="黑体" w:cs="Times New Roman"/>
          <w:b/>
          <w:bCs/>
          <w:kern w:val="2"/>
          <w:lang w:eastAsia="zh-CN"/>
        </w:rPr>
        <w:t>2025年</w:t>
      </w:r>
      <w:r>
        <w:rPr>
          <w:rFonts w:hint="eastAsia" w:ascii="黑体" w:hAnsi="Times New Roman" w:eastAsia="黑体" w:cs="Times New Roman"/>
          <w:b/>
          <w:bCs/>
          <w:kern w:val="2"/>
        </w:rPr>
        <w:t>巴彦淖尔市危险废物经营单位情况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8"/>
        <w:gridCol w:w="2694"/>
      </w:tblGrid>
      <w:tr w14:paraId="76052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28" w:type="dxa"/>
            <w:noWrap w:val="0"/>
            <w:vAlign w:val="center"/>
          </w:tcPr>
          <w:p w14:paraId="75C80AD9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/>
                <w:b/>
                <w:bCs/>
                <w:kern w:val="2"/>
                <w:sz w:val="21"/>
                <w:szCs w:val="21"/>
              </w:rPr>
              <w:t>企业名称</w:t>
            </w:r>
          </w:p>
        </w:tc>
        <w:tc>
          <w:tcPr>
            <w:tcW w:w="2694" w:type="dxa"/>
            <w:noWrap w:val="0"/>
            <w:vAlign w:val="center"/>
          </w:tcPr>
          <w:p w14:paraId="57004932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/>
                <w:b/>
                <w:bCs/>
                <w:kern w:val="2"/>
                <w:sz w:val="21"/>
                <w:szCs w:val="21"/>
              </w:rPr>
              <w:t>处置利用量（吨）</w:t>
            </w:r>
          </w:p>
        </w:tc>
      </w:tr>
      <w:tr w14:paraId="3ADA2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28" w:type="dxa"/>
            <w:noWrap w:val="0"/>
            <w:vAlign w:val="center"/>
          </w:tcPr>
          <w:p w14:paraId="100CE0ED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巴彦淖尔市静脉产业园高新技术环保有限公司</w:t>
            </w:r>
          </w:p>
        </w:tc>
        <w:tc>
          <w:tcPr>
            <w:tcW w:w="2694" w:type="dxa"/>
            <w:noWrap w:val="0"/>
            <w:vAlign w:val="center"/>
          </w:tcPr>
          <w:p w14:paraId="2EE57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6043.09</w:t>
            </w:r>
          </w:p>
        </w:tc>
      </w:tr>
      <w:tr w14:paraId="21F8A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28" w:type="dxa"/>
            <w:noWrap w:val="0"/>
            <w:vAlign w:val="center"/>
          </w:tcPr>
          <w:p w14:paraId="5BCFBC97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巴彦淖尔华峰氧化锌有限公司</w:t>
            </w:r>
          </w:p>
        </w:tc>
        <w:tc>
          <w:tcPr>
            <w:tcW w:w="2694" w:type="dxa"/>
            <w:noWrap w:val="0"/>
            <w:vAlign w:val="center"/>
          </w:tcPr>
          <w:p w14:paraId="7C04474F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default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kern w:val="2"/>
                <w:sz w:val="21"/>
                <w:szCs w:val="21"/>
                <w:lang w:val="en-US" w:eastAsia="zh-CN" w:bidi="ar-SA"/>
              </w:rPr>
              <w:t>38556.91</w:t>
            </w:r>
          </w:p>
        </w:tc>
      </w:tr>
      <w:tr w14:paraId="51B19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28" w:type="dxa"/>
            <w:noWrap w:val="0"/>
            <w:vAlign w:val="center"/>
          </w:tcPr>
          <w:p w14:paraId="3B5C0BE7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/>
                <w:color w:val="auto"/>
                <w:kern w:val="2"/>
                <w:sz w:val="21"/>
                <w:szCs w:val="21"/>
              </w:rPr>
            </w:pPr>
            <w:r>
              <w:rPr>
                <w:rFonts w:hint="eastAsia"/>
                <w:color w:val="auto"/>
                <w:kern w:val="2"/>
                <w:sz w:val="21"/>
                <w:szCs w:val="21"/>
              </w:rPr>
              <w:t>乌拉特后旗凯宇再生资源有限公司</w:t>
            </w:r>
          </w:p>
        </w:tc>
        <w:tc>
          <w:tcPr>
            <w:tcW w:w="2694" w:type="dxa"/>
            <w:noWrap w:val="0"/>
            <w:vAlign w:val="center"/>
          </w:tcPr>
          <w:p w14:paraId="42E25070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default" w:eastAsia="宋体"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31723.67</w:t>
            </w:r>
          </w:p>
        </w:tc>
      </w:tr>
      <w:tr w14:paraId="65C03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28" w:type="dxa"/>
            <w:noWrap w:val="0"/>
            <w:vAlign w:val="center"/>
          </w:tcPr>
          <w:p w14:paraId="52FA8541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/>
                <w:color w:val="auto"/>
                <w:kern w:val="2"/>
                <w:sz w:val="21"/>
                <w:szCs w:val="21"/>
              </w:rPr>
            </w:pPr>
            <w:r>
              <w:rPr>
                <w:rFonts w:hint="eastAsia"/>
                <w:color w:val="auto"/>
                <w:kern w:val="2"/>
                <w:sz w:val="21"/>
                <w:szCs w:val="21"/>
              </w:rPr>
              <w:t>乌拉特后旗鑫源再生资源有限公司</w:t>
            </w:r>
          </w:p>
        </w:tc>
        <w:tc>
          <w:tcPr>
            <w:tcW w:w="2694" w:type="dxa"/>
            <w:noWrap w:val="0"/>
            <w:vAlign w:val="center"/>
          </w:tcPr>
          <w:p w14:paraId="538C4668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default" w:eastAsia="宋体"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4035.92</w:t>
            </w:r>
          </w:p>
        </w:tc>
      </w:tr>
      <w:tr w14:paraId="16BF0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5828" w:type="dxa"/>
            <w:noWrap w:val="0"/>
            <w:vAlign w:val="center"/>
          </w:tcPr>
          <w:p w14:paraId="20D8A74C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巴彦淖尔市德源肥业有限公司</w:t>
            </w:r>
          </w:p>
        </w:tc>
        <w:tc>
          <w:tcPr>
            <w:tcW w:w="2694" w:type="dxa"/>
            <w:noWrap w:val="0"/>
            <w:vAlign w:val="center"/>
          </w:tcPr>
          <w:p w14:paraId="4AE815F7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default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297067.67</w:t>
            </w:r>
          </w:p>
        </w:tc>
      </w:tr>
      <w:tr w14:paraId="5C9D3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28" w:type="dxa"/>
            <w:noWrap w:val="0"/>
            <w:vAlign w:val="center"/>
          </w:tcPr>
          <w:p w14:paraId="5911B8DD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巴彦淖尔市维康环保有限公司</w:t>
            </w:r>
          </w:p>
        </w:tc>
        <w:tc>
          <w:tcPr>
            <w:tcW w:w="2694" w:type="dxa"/>
            <w:noWrap w:val="0"/>
            <w:vAlign w:val="center"/>
          </w:tcPr>
          <w:p w14:paraId="7172A418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default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1339.04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（医废）</w:t>
            </w:r>
          </w:p>
        </w:tc>
      </w:tr>
      <w:tr w14:paraId="22CEB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28" w:type="dxa"/>
            <w:noWrap w:val="0"/>
            <w:vAlign w:val="center"/>
          </w:tcPr>
          <w:p w14:paraId="16F6C7B6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fldChar w:fldCharType="begin"/>
            </w:r>
            <w:r>
              <w:rPr>
                <w:rFonts w:hint="eastAsia"/>
                <w:kern w:val="2"/>
                <w:sz w:val="21"/>
                <w:szCs w:val="21"/>
              </w:rPr>
              <w:instrText xml:space="preserve"> HYPERLINK "http://neimenggu.swmc.org.cn:8090/edpgf_nmg/forward.action?path=/edpApp/page.jsp?sessionid=CoLxSB-aW1gnq33bLw2dYkBblfCw6ARzuy8A&amp;udeIframe=iframe_nmg_operationAudit&amp;udePageUrl=/edpgf_nmg/forward.action?path=/edpApp/common/busscertificate/annualOperation/javascript:void(0);" </w:instrText>
            </w:r>
            <w:r>
              <w:rPr>
                <w:rFonts w:hint="eastAsia"/>
                <w:kern w:val="2"/>
                <w:sz w:val="21"/>
                <w:szCs w:val="21"/>
              </w:rPr>
              <w:fldChar w:fldCharType="separate"/>
            </w:r>
            <w:r>
              <w:rPr>
                <w:rFonts w:hint="eastAsia"/>
                <w:kern w:val="2"/>
                <w:sz w:val="21"/>
                <w:szCs w:val="21"/>
              </w:rPr>
              <w:t>内蒙古金宇晟再生资源利用有限公司</w:t>
            </w:r>
            <w:r>
              <w:rPr>
                <w:rFonts w:hint="eastAsia"/>
                <w:kern w:val="2"/>
                <w:sz w:val="21"/>
                <w:szCs w:val="21"/>
              </w:rPr>
              <w:fldChar w:fldCharType="end"/>
            </w:r>
          </w:p>
        </w:tc>
        <w:tc>
          <w:tcPr>
            <w:tcW w:w="2694" w:type="dxa"/>
            <w:noWrap w:val="0"/>
            <w:vAlign w:val="center"/>
          </w:tcPr>
          <w:p w14:paraId="4FDAE7BA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 w:cs="宋体"/>
                <w:kern w:val="2"/>
                <w:sz w:val="21"/>
                <w:szCs w:val="21"/>
                <w:lang w:val="en-US" w:eastAsia="zh-CN" w:bidi="ar-SA"/>
              </w:rPr>
              <w:t>26.02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(收集)</w:t>
            </w:r>
          </w:p>
        </w:tc>
      </w:tr>
      <w:tr w14:paraId="335CB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28" w:type="dxa"/>
            <w:noWrap w:val="0"/>
            <w:vAlign w:val="center"/>
          </w:tcPr>
          <w:p w14:paraId="63AD0050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内蒙古恒念环保有限责任公司</w:t>
            </w:r>
          </w:p>
        </w:tc>
        <w:tc>
          <w:tcPr>
            <w:tcW w:w="2694" w:type="dxa"/>
            <w:noWrap w:val="0"/>
            <w:vAlign w:val="center"/>
          </w:tcPr>
          <w:p w14:paraId="10F31EA8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default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kern w:val="2"/>
                <w:sz w:val="21"/>
                <w:szCs w:val="21"/>
                <w:lang w:val="en-US" w:eastAsia="zh-CN" w:bidi="ar-SA"/>
              </w:rPr>
              <w:t>1902.73</w:t>
            </w:r>
          </w:p>
        </w:tc>
      </w:tr>
      <w:tr w14:paraId="71DCD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28" w:type="dxa"/>
            <w:noWrap w:val="0"/>
            <w:vAlign w:val="center"/>
          </w:tcPr>
          <w:p w14:paraId="0F82CDBC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内蒙古广恒再生资源综合利用有限责任公司</w:t>
            </w:r>
          </w:p>
        </w:tc>
        <w:tc>
          <w:tcPr>
            <w:tcW w:w="2694" w:type="dxa"/>
            <w:noWrap w:val="0"/>
            <w:vAlign w:val="center"/>
          </w:tcPr>
          <w:p w14:paraId="012B091E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2646.16</w:t>
            </w:r>
          </w:p>
        </w:tc>
      </w:tr>
      <w:tr w14:paraId="031D8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28" w:type="dxa"/>
            <w:noWrap w:val="0"/>
            <w:vAlign w:val="center"/>
          </w:tcPr>
          <w:p w14:paraId="35CAFC82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内蒙古华宝固危废环境治理有限公司</w:t>
            </w:r>
          </w:p>
        </w:tc>
        <w:tc>
          <w:tcPr>
            <w:tcW w:w="2694" w:type="dxa"/>
            <w:noWrap w:val="0"/>
            <w:vAlign w:val="center"/>
          </w:tcPr>
          <w:p w14:paraId="6B4D586D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75935.63</w:t>
            </w:r>
          </w:p>
        </w:tc>
      </w:tr>
      <w:tr w14:paraId="642C3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28" w:type="dxa"/>
            <w:noWrap w:val="0"/>
            <w:vAlign w:val="center"/>
          </w:tcPr>
          <w:p w14:paraId="536D7669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杭锦后旗大友资源再利用有限公司</w:t>
            </w:r>
          </w:p>
        </w:tc>
        <w:tc>
          <w:tcPr>
            <w:tcW w:w="2694" w:type="dxa"/>
            <w:noWrap w:val="0"/>
            <w:vAlign w:val="center"/>
          </w:tcPr>
          <w:p w14:paraId="743AFF09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27591.85</w:t>
            </w:r>
          </w:p>
        </w:tc>
      </w:tr>
      <w:tr w14:paraId="466B7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28" w:type="dxa"/>
            <w:noWrap w:val="0"/>
            <w:vAlign w:val="center"/>
          </w:tcPr>
          <w:p w14:paraId="3DFED782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内蒙古三英宏业环保科技有限责任公司</w:t>
            </w:r>
          </w:p>
        </w:tc>
        <w:tc>
          <w:tcPr>
            <w:tcW w:w="2694" w:type="dxa"/>
            <w:noWrap w:val="0"/>
            <w:vAlign w:val="center"/>
          </w:tcPr>
          <w:p w14:paraId="02D940F3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default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160961.9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</w:tr>
      <w:tr w14:paraId="417FE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28" w:type="dxa"/>
            <w:noWrap w:val="0"/>
            <w:vAlign w:val="center"/>
          </w:tcPr>
          <w:p w14:paraId="576FA19C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巴彦淖尔市腾宇再生资源回收有限公司</w:t>
            </w:r>
          </w:p>
        </w:tc>
        <w:tc>
          <w:tcPr>
            <w:tcW w:w="2694" w:type="dxa"/>
            <w:noWrap w:val="0"/>
            <w:vAlign w:val="center"/>
          </w:tcPr>
          <w:p w14:paraId="56BDC35E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1"/>
                <w:szCs w:val="21"/>
                <w:lang w:val="en-US" w:eastAsia="zh-CN" w:bidi="ar-SA"/>
              </w:rPr>
              <w:t>132.44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(收集)</w:t>
            </w:r>
          </w:p>
        </w:tc>
      </w:tr>
      <w:tr w14:paraId="5405C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28" w:type="dxa"/>
            <w:noWrap w:val="0"/>
            <w:vAlign w:val="center"/>
          </w:tcPr>
          <w:p w14:paraId="5E87946D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内蒙古千欣再生资源利用有限公司</w:t>
            </w:r>
          </w:p>
        </w:tc>
        <w:tc>
          <w:tcPr>
            <w:tcW w:w="2694" w:type="dxa"/>
            <w:noWrap w:val="0"/>
            <w:vAlign w:val="center"/>
          </w:tcPr>
          <w:p w14:paraId="161A841F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1"/>
                <w:szCs w:val="21"/>
                <w:lang w:val="en-US" w:eastAsia="zh-CN" w:bidi="ar-SA"/>
              </w:rPr>
              <w:t>1165.98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(收集)</w:t>
            </w:r>
          </w:p>
        </w:tc>
      </w:tr>
      <w:tr w14:paraId="3D633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28" w:type="dxa"/>
            <w:noWrap w:val="0"/>
            <w:vAlign w:val="center"/>
          </w:tcPr>
          <w:p w14:paraId="7CA2185C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乌拉特前旗溢凯元给排水有限责任公司</w:t>
            </w:r>
          </w:p>
        </w:tc>
        <w:tc>
          <w:tcPr>
            <w:tcW w:w="2694" w:type="dxa"/>
            <w:noWrap w:val="0"/>
            <w:vAlign w:val="center"/>
          </w:tcPr>
          <w:p w14:paraId="6B7DE013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default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1"/>
                <w:szCs w:val="21"/>
                <w:lang w:val="en-US" w:eastAsia="zh-CN" w:bidi="ar-SA"/>
              </w:rPr>
              <w:t>82.51（收集）</w:t>
            </w:r>
          </w:p>
        </w:tc>
      </w:tr>
      <w:tr w14:paraId="69EFD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28" w:type="dxa"/>
            <w:noWrap w:val="0"/>
            <w:vAlign w:val="center"/>
          </w:tcPr>
          <w:p w14:paraId="27152674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内蒙古博资再生资源回收有限公司</w:t>
            </w:r>
          </w:p>
        </w:tc>
        <w:tc>
          <w:tcPr>
            <w:tcW w:w="2694" w:type="dxa"/>
            <w:noWrap w:val="0"/>
            <w:vAlign w:val="center"/>
          </w:tcPr>
          <w:p w14:paraId="22375036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1"/>
                <w:szCs w:val="21"/>
                <w:lang w:val="en-US" w:eastAsia="zh-CN" w:bidi="ar-SA"/>
              </w:rPr>
              <w:t>559.64（收集）</w:t>
            </w:r>
          </w:p>
        </w:tc>
      </w:tr>
      <w:tr w14:paraId="2631A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28" w:type="dxa"/>
            <w:noWrap w:val="0"/>
            <w:vAlign w:val="center"/>
          </w:tcPr>
          <w:p w14:paraId="7447BF82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杭锦后旗环境卫生服务中心</w:t>
            </w:r>
          </w:p>
        </w:tc>
        <w:tc>
          <w:tcPr>
            <w:tcW w:w="2694" w:type="dxa"/>
            <w:noWrap w:val="0"/>
            <w:vAlign w:val="center"/>
          </w:tcPr>
          <w:p w14:paraId="13ADA054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1"/>
                <w:szCs w:val="21"/>
                <w:lang w:val="en-US" w:eastAsia="zh-CN" w:bidi="ar-SA"/>
              </w:rPr>
              <w:t>7804.59（豁免）</w:t>
            </w:r>
          </w:p>
        </w:tc>
      </w:tr>
      <w:tr w14:paraId="29F0F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28" w:type="dxa"/>
            <w:shd w:val="clear" w:color="auto" w:fill="auto"/>
            <w:noWrap w:val="0"/>
            <w:vAlign w:val="center"/>
          </w:tcPr>
          <w:p w14:paraId="174B2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Arial" w:cs="宋体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Arial" w:cs="宋体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  <w:t>内蒙古中慧绿岛环境科技有限公司</w:t>
            </w:r>
          </w:p>
        </w:tc>
        <w:tc>
          <w:tcPr>
            <w:tcW w:w="2694" w:type="dxa"/>
            <w:noWrap w:val="0"/>
            <w:vAlign w:val="center"/>
          </w:tcPr>
          <w:p w14:paraId="350C2D5F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default" w:ascii="宋体" w:hAnsi="宋体" w:eastAsia="Arial" w:cs="宋体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Arial" w:cs="宋体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  <w:t>109.4</w:t>
            </w:r>
            <w:r>
              <w:rPr>
                <w:rFonts w:hint="eastAsia" w:cs="宋体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</w:tr>
      <w:tr w14:paraId="0A1E0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28" w:type="dxa"/>
            <w:shd w:val="clear" w:color="auto" w:fill="auto"/>
            <w:noWrap w:val="0"/>
            <w:vAlign w:val="center"/>
          </w:tcPr>
          <w:p w14:paraId="32F4C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Arial" w:cs="宋体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Arial" w:cs="宋体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  <w:t>巴彦淖尔紫金有色金属有限公司</w:t>
            </w:r>
          </w:p>
        </w:tc>
        <w:tc>
          <w:tcPr>
            <w:tcW w:w="2694" w:type="dxa"/>
            <w:noWrap w:val="0"/>
            <w:vAlign w:val="center"/>
          </w:tcPr>
          <w:p w14:paraId="0D3DA38D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default" w:ascii="宋体" w:hAnsi="宋体" w:eastAsia="Arial" w:cs="宋体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</w:tr>
      <w:tr w14:paraId="45704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28" w:type="dxa"/>
            <w:shd w:val="clear" w:color="auto" w:fill="auto"/>
            <w:noWrap w:val="0"/>
            <w:vAlign w:val="center"/>
          </w:tcPr>
          <w:p w14:paraId="0E6D9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Arial" w:cs="宋体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Arial" w:cs="宋体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  <w:t>内蒙古华茂再生资源有限公司</w:t>
            </w:r>
          </w:p>
        </w:tc>
        <w:tc>
          <w:tcPr>
            <w:tcW w:w="2694" w:type="dxa"/>
            <w:noWrap w:val="0"/>
            <w:vAlign w:val="center"/>
          </w:tcPr>
          <w:p w14:paraId="27C632B1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 w:ascii="宋体" w:hAnsi="宋体" w:eastAsia="Arial" w:cs="宋体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</w:tr>
      <w:tr w14:paraId="12C42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28" w:type="dxa"/>
            <w:shd w:val="clear" w:color="auto" w:fill="auto"/>
            <w:noWrap w:val="0"/>
            <w:vAlign w:val="center"/>
          </w:tcPr>
          <w:p w14:paraId="193DE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Arial" w:cs="宋体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Arial" w:cs="宋体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  <w:t>联邦制药（内蒙古）有限公司</w:t>
            </w:r>
          </w:p>
        </w:tc>
        <w:tc>
          <w:tcPr>
            <w:tcW w:w="2694" w:type="dxa"/>
            <w:noWrap w:val="0"/>
            <w:vAlign w:val="center"/>
          </w:tcPr>
          <w:p w14:paraId="309C30D4">
            <w:pPr>
              <w:pStyle w:val="5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 w:ascii="宋体" w:hAnsi="宋体" w:eastAsia="Arial" w:cs="宋体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Arial" w:cs="宋体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  <w:t>55.42</w:t>
            </w:r>
          </w:p>
        </w:tc>
      </w:tr>
    </w:tbl>
    <w:p w14:paraId="3294523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3" w:firstLineChars="200"/>
        <w:textAlignment w:val="baseline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6.危险废物自行利用处置情况</w:t>
      </w:r>
    </w:p>
    <w:p w14:paraId="1389FC3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2025年，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市实际自行利用处置危险废物19.88万吨，委外利用处置危险废物(包括医疗废物)41.28万吨，处置危险废物的主要种类为:医药废物（HW02），有色金属采选和冶炼废物（HW48），精（蒸）馏残渣(HW11),焚烧处置残渣（HW18），废催化剂（HW50）。</w:t>
      </w:r>
    </w:p>
    <w:p w14:paraId="192391FD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564" w:firstLineChars="200"/>
        <w:textAlignment w:val="baseline"/>
        <w:rPr>
          <w:rFonts w:ascii="黑体" w:hAnsi="黑体" w:eastAsia="黑体" w:cs="黑体"/>
          <w:b w:val="0"/>
          <w:bCs w:val="0"/>
          <w:spacing w:val="-19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pacing w:val="-19"/>
          <w:sz w:val="32"/>
          <w:szCs w:val="32"/>
        </w:rPr>
        <w:t>三</w:t>
      </w:r>
      <w:r>
        <w:rPr>
          <w:rFonts w:ascii="黑体" w:hAnsi="黑体" w:eastAsia="黑体" w:cs="黑体"/>
          <w:b w:val="0"/>
          <w:bCs w:val="0"/>
          <w:spacing w:val="-40"/>
          <w:sz w:val="32"/>
          <w:szCs w:val="32"/>
        </w:rPr>
        <w:t xml:space="preserve"> </w:t>
      </w:r>
      <w:r>
        <w:rPr>
          <w:rFonts w:ascii="黑体" w:hAnsi="黑体" w:eastAsia="黑体" w:cs="黑体"/>
          <w:b w:val="0"/>
          <w:bCs w:val="0"/>
          <w:spacing w:val="-19"/>
          <w:sz w:val="32"/>
          <w:szCs w:val="32"/>
        </w:rPr>
        <w:t>、生活垃圾</w:t>
      </w:r>
    </w:p>
    <w:p w14:paraId="68C38010">
      <w:pPr>
        <w:keepNext w:val="0"/>
        <w:keepLines w:val="0"/>
        <w:pageBreakBefore w:val="0"/>
        <w:wordWrap/>
        <w:overflowPunct/>
        <w:topLinePunct w:val="0"/>
        <w:bidi w:val="0"/>
        <w:spacing w:line="576" w:lineRule="exact"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1.产生、利用及处理情况</w:t>
      </w:r>
    </w:p>
    <w:p w14:paraId="69E029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，本市城乡生活垃圾产生量为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42.92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万吨，其中城市生活垃圾产生量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33.15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万吨，农村生活垃圾产生量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9.77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万吨。本市城乡生活垃圾无害化处理量为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40.02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万吨，无害化处理率为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93.24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%，其中城市生活垃圾无害化处理量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33.15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万吨，无害化处理率为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%，农村生活垃圾无害化处理量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6.87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万吨，无害化处理率为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7D0214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3" w:firstLineChars="200"/>
        <w:jc w:val="left"/>
        <w:textAlignment w:val="baseline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2.生活垃圾处理设施情况</w:t>
      </w:r>
    </w:p>
    <w:p w14:paraId="4B7DB4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本市共有正在运行的城镇生活垃圾处理设施6座，总处理能力为1130吨/日，其中焚烧处理能力占比61.95%, 填埋处理能力占比38.05%。</w:t>
      </w:r>
    </w:p>
    <w:p w14:paraId="5B2046D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8" w:firstLineChars="200"/>
        <w:jc w:val="left"/>
        <w:textAlignment w:val="baseline"/>
        <w:rPr>
          <w:rFonts w:ascii="黑体" w:hAnsi="黑体" w:eastAsia="黑体" w:cs="黑体"/>
          <w:b w:val="0"/>
          <w:bCs w:val="0"/>
          <w:spacing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2"/>
          <w:kern w:val="0"/>
          <w:sz w:val="32"/>
          <w:szCs w:val="32"/>
          <w:lang w:val="en-US" w:eastAsia="en-US" w:bidi="ar-SA"/>
        </w:rPr>
        <w:t>四、</w:t>
      </w:r>
      <w:r>
        <w:rPr>
          <w:rFonts w:ascii="黑体" w:hAnsi="黑体" w:eastAsia="黑体" w:cs="黑体"/>
          <w:b w:val="0"/>
          <w:bCs w:val="0"/>
          <w:spacing w:val="2"/>
          <w:sz w:val="32"/>
          <w:szCs w:val="32"/>
        </w:rPr>
        <w:t>建筑垃圾</w:t>
      </w:r>
    </w:p>
    <w:p w14:paraId="5137FE2F">
      <w:pPr>
        <w:keepNext w:val="0"/>
        <w:keepLines w:val="0"/>
        <w:pageBreakBefore w:val="0"/>
        <w:wordWrap/>
        <w:overflowPunct/>
        <w:topLinePunct w:val="0"/>
        <w:bidi w:val="0"/>
        <w:spacing w:line="576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1.产生、利用及处理情况</w:t>
      </w:r>
    </w:p>
    <w:p w14:paraId="05603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00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年，本市建筑垃圾产生量为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71.31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万吨，资源化利用量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25.67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万吨，主要利用方式为破碎、筛分、再利用，填埋量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45.64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万吨。</w:t>
      </w:r>
    </w:p>
    <w:p w14:paraId="0CE73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00"/>
        <w:jc w:val="both"/>
        <w:textAlignment w:val="auto"/>
        <w:rPr>
          <w:rFonts w:hint="default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工程渣土产生量为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22.82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万吨，资源化利用量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12.835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万吨，填埋量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22.82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万吨；工程泥浆产生量为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万吨，资源化利用量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万吨，填埋量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万吨；工程垃圾产生量为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4.564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万吨，资源化利用量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6.4175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万吨，填埋量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4.564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万吨；拆除垃圾产生量为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13.692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万吨，资源化利用量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5.134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万吨，填埋量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13.692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万吨；装修垃圾产生量为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4.564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万吨，资源化利用量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1.2835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万吨，填埋量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4.564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万吨。主要种类产生情况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见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图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1。</w:t>
      </w:r>
    </w:p>
    <w:p w14:paraId="24BD2F19">
      <w:pPr>
        <w:pStyle w:val="3"/>
        <w:jc w:val="center"/>
        <w:rPr>
          <w:rFonts w:hint="eastAsia" w:ascii="黑体" w:hAnsi="黑体" w:eastAsia="黑体" w:cs="黑体"/>
          <w:b/>
          <w:bCs/>
          <w:snapToGrid w:val="0"/>
          <w:color w:val="000000"/>
          <w:spacing w:val="18"/>
          <w:kern w:val="0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spacing w:val="18"/>
          <w:sz w:val="24"/>
          <w:szCs w:val="24"/>
          <w:lang w:val="en-US" w:eastAsia="zh-CN"/>
        </w:rPr>
        <w:t xml:space="preserve">图1 </w:t>
      </w:r>
      <w:r>
        <w:rPr>
          <w:rFonts w:hint="eastAsia" w:ascii="黑体" w:hAnsi="黑体" w:eastAsia="黑体" w:cs="黑体"/>
          <w:b/>
          <w:bCs/>
          <w:snapToGrid w:val="0"/>
          <w:color w:val="000000"/>
          <w:spacing w:val="18"/>
          <w:kern w:val="0"/>
          <w:sz w:val="24"/>
          <w:szCs w:val="24"/>
          <w:lang w:val="en-US" w:eastAsia="zh-CN" w:bidi="ar-SA"/>
        </w:rPr>
        <w:t>2025年建筑垃圾主要种类产生情况</w:t>
      </w:r>
    </w:p>
    <w:p w14:paraId="256C5AE9">
      <w:pPr>
        <w:pStyle w:val="3"/>
        <w:rPr>
          <w:rFonts w:hint="eastAsia"/>
          <w:lang w:eastAsia="zh-CN"/>
        </w:rPr>
      </w:pPr>
      <w:r>
        <w:drawing>
          <wp:inline distT="0" distB="0" distL="114300" distR="114300">
            <wp:extent cx="4572000" cy="2743200"/>
            <wp:effectExtent l="4445" t="4445" r="10795" b="10795"/>
            <wp:docPr id="1" name="图表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3A7AED1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2.主要处理设施情况</w:t>
      </w:r>
    </w:p>
    <w:p w14:paraId="1771C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00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年，本市共有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家单位开展建筑垃圾处理活动，本市建筑垃圾处理能力为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万吨/年，主要处理设施情况见表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lang w:eastAsia="zh-CN"/>
        </w:rPr>
        <w:t>。</w:t>
      </w:r>
    </w:p>
    <w:p w14:paraId="514D10B4">
      <w:pPr>
        <w:pStyle w:val="3"/>
        <w:jc w:val="center"/>
        <w:rPr>
          <w:rFonts w:hint="eastAsia" w:ascii="宋体" w:hAnsi="宋体" w:eastAsia="Arial" w:cs="宋体"/>
          <w:i w:val="0"/>
          <w:snapToGrid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spacing w:val="18"/>
          <w:sz w:val="24"/>
          <w:szCs w:val="24"/>
          <w:lang w:val="en-US" w:eastAsia="zh-CN"/>
        </w:rPr>
        <w:t xml:space="preserve">表6 </w:t>
      </w:r>
      <w:r>
        <w:rPr>
          <w:rFonts w:hint="eastAsia" w:ascii="黑体" w:hAnsi="黑体" w:eastAsia="黑体" w:cs="黑体"/>
          <w:b/>
          <w:bCs/>
          <w:spacing w:val="18"/>
          <w:sz w:val="24"/>
          <w:szCs w:val="24"/>
          <w:lang w:eastAsia="zh-CN"/>
        </w:rPr>
        <w:t>2025年</w:t>
      </w:r>
      <w:r>
        <w:rPr>
          <w:rFonts w:hint="eastAsia" w:ascii="黑体" w:hAnsi="黑体" w:eastAsia="黑体" w:cs="黑体"/>
          <w:b/>
          <w:bCs/>
          <w:spacing w:val="18"/>
          <w:sz w:val="24"/>
          <w:szCs w:val="24"/>
        </w:rPr>
        <w:t>本市建筑垃圾主要处理设施情况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1"/>
        <w:gridCol w:w="1829"/>
        <w:gridCol w:w="2131"/>
        <w:gridCol w:w="2131"/>
      </w:tblGrid>
      <w:tr w14:paraId="6CA96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1" w:type="dxa"/>
            <w:noWrap w:val="0"/>
            <w:vAlign w:val="center"/>
          </w:tcPr>
          <w:p w14:paraId="521B46D3">
            <w:pPr>
              <w:pStyle w:val="3"/>
              <w:widowControl w:val="0"/>
              <w:ind w:left="0" w:leftChars="0" w:firstLine="0" w:firstLineChars="0"/>
              <w:jc w:val="center"/>
              <w:rPr>
                <w:rFonts w:hint="eastAsia" w:ascii="宋体" w:hAnsi="宋体" w:eastAsia="Arial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Arial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处理设施所属单位名称</w:t>
            </w:r>
          </w:p>
        </w:tc>
        <w:tc>
          <w:tcPr>
            <w:tcW w:w="1829" w:type="dxa"/>
            <w:noWrap w:val="0"/>
            <w:vAlign w:val="center"/>
          </w:tcPr>
          <w:p w14:paraId="14C76007">
            <w:pPr>
              <w:pStyle w:val="3"/>
              <w:widowControl w:val="0"/>
              <w:ind w:left="0" w:leftChars="0" w:firstLine="0" w:firstLineChars="0"/>
              <w:jc w:val="center"/>
              <w:rPr>
                <w:rFonts w:hint="eastAsia" w:ascii="宋体" w:hAnsi="宋体" w:eastAsia="Arial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Arial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处理建筑垃圾种类</w:t>
            </w:r>
          </w:p>
        </w:tc>
        <w:tc>
          <w:tcPr>
            <w:tcW w:w="2131" w:type="dxa"/>
            <w:noWrap w:val="0"/>
            <w:vAlign w:val="center"/>
          </w:tcPr>
          <w:p w14:paraId="06F3D1B5">
            <w:pPr>
              <w:pStyle w:val="3"/>
              <w:widowControl w:val="0"/>
              <w:ind w:left="0" w:leftChars="0" w:firstLine="0" w:firstLineChars="0"/>
              <w:jc w:val="center"/>
              <w:rPr>
                <w:rFonts w:hint="eastAsia" w:ascii="宋体" w:hAnsi="宋体" w:eastAsia="Arial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Arial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设计处理能力（万吨）</w:t>
            </w:r>
          </w:p>
        </w:tc>
        <w:tc>
          <w:tcPr>
            <w:tcW w:w="2131" w:type="dxa"/>
            <w:noWrap w:val="0"/>
            <w:vAlign w:val="center"/>
          </w:tcPr>
          <w:p w14:paraId="13F6B1C8">
            <w:pPr>
              <w:pStyle w:val="3"/>
              <w:widowControl w:val="0"/>
              <w:ind w:left="0" w:leftChars="0" w:firstLine="0" w:firstLineChars="0"/>
              <w:jc w:val="center"/>
              <w:rPr>
                <w:rFonts w:hint="eastAsia" w:ascii="宋体" w:hAnsi="宋体" w:eastAsia="Arial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Arial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实际处理量（万吨）</w:t>
            </w:r>
          </w:p>
        </w:tc>
      </w:tr>
      <w:tr w14:paraId="30EE1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1" w:type="dxa"/>
            <w:noWrap w:val="0"/>
            <w:vAlign w:val="center"/>
          </w:tcPr>
          <w:p w14:paraId="4E407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Arial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Arial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八一建筑垃圾消纳场</w:t>
            </w:r>
          </w:p>
        </w:tc>
        <w:tc>
          <w:tcPr>
            <w:tcW w:w="1829" w:type="dxa"/>
            <w:noWrap w:val="0"/>
            <w:vAlign w:val="center"/>
          </w:tcPr>
          <w:p w14:paraId="5DA78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Arial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Arial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建筑垃圾</w:t>
            </w:r>
          </w:p>
        </w:tc>
        <w:tc>
          <w:tcPr>
            <w:tcW w:w="2131" w:type="dxa"/>
            <w:noWrap w:val="0"/>
            <w:vAlign w:val="center"/>
          </w:tcPr>
          <w:p w14:paraId="02EA68CB">
            <w:pPr>
              <w:pStyle w:val="3"/>
              <w:widowControl w:val="0"/>
              <w:jc w:val="center"/>
              <w:rPr>
                <w:rFonts w:hint="default" w:ascii="宋体" w:hAnsi="宋体" w:eastAsia="Arial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Arial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131" w:type="dxa"/>
            <w:noWrap w:val="0"/>
            <w:vAlign w:val="center"/>
          </w:tcPr>
          <w:p w14:paraId="37E7F4D3">
            <w:pPr>
              <w:pStyle w:val="3"/>
              <w:widowControl w:val="0"/>
              <w:ind w:left="0" w:leftChars="0" w:firstLine="800" w:firstLineChars="400"/>
              <w:jc w:val="both"/>
              <w:rPr>
                <w:rFonts w:hint="default" w:ascii="宋体" w:hAnsi="宋体" w:eastAsia="Arial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Arial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10F12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1" w:type="dxa"/>
            <w:noWrap w:val="0"/>
            <w:vAlign w:val="center"/>
          </w:tcPr>
          <w:p w14:paraId="63189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Arial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Arial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巴彦淖尔市强盛新型建材有限公司</w:t>
            </w:r>
          </w:p>
        </w:tc>
        <w:tc>
          <w:tcPr>
            <w:tcW w:w="1829" w:type="dxa"/>
            <w:noWrap w:val="0"/>
            <w:vAlign w:val="center"/>
          </w:tcPr>
          <w:p w14:paraId="52A99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Arial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Arial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建筑垃圾</w:t>
            </w:r>
          </w:p>
        </w:tc>
        <w:tc>
          <w:tcPr>
            <w:tcW w:w="2131" w:type="dxa"/>
            <w:noWrap w:val="0"/>
            <w:vAlign w:val="center"/>
          </w:tcPr>
          <w:p w14:paraId="0343AECF">
            <w:pPr>
              <w:pStyle w:val="3"/>
              <w:widowControl w:val="0"/>
              <w:jc w:val="center"/>
              <w:rPr>
                <w:rFonts w:hint="default" w:ascii="宋体" w:hAnsi="宋体" w:eastAsia="Arial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Arial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2131" w:type="dxa"/>
            <w:noWrap w:val="0"/>
            <w:vAlign w:val="center"/>
          </w:tcPr>
          <w:p w14:paraId="0F5110C1">
            <w:pPr>
              <w:pStyle w:val="3"/>
              <w:widowControl w:val="0"/>
              <w:ind w:firstLine="400" w:firstLineChars="200"/>
              <w:jc w:val="both"/>
              <w:rPr>
                <w:rFonts w:hint="default" w:ascii="宋体" w:hAnsi="宋体" w:eastAsia="Arial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Arial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</w:tbl>
    <w:p w14:paraId="14E3BB3D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591" w:firstLineChars="200"/>
        <w:textAlignment w:val="baseline"/>
        <w:rPr>
          <w:rFonts w:ascii="黑体" w:hAnsi="黑体" w:eastAsia="黑体" w:cs="黑体"/>
          <w:b/>
          <w:bCs/>
          <w:spacing w:val="-13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3"/>
          <w:sz w:val="32"/>
          <w:szCs w:val="32"/>
        </w:rPr>
        <w:t>五</w:t>
      </w:r>
      <w:r>
        <w:rPr>
          <w:rFonts w:ascii="黑体" w:hAnsi="黑体" w:eastAsia="黑体" w:cs="黑体"/>
          <w:spacing w:val="-40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2"/>
          <w:szCs w:val="32"/>
        </w:rPr>
        <w:t>、农业固体废物</w:t>
      </w:r>
    </w:p>
    <w:p w14:paraId="5937539B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1.农作物秸秆产生及利用情况</w:t>
      </w:r>
    </w:p>
    <w:p w14:paraId="2856730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textAlignment w:val="baseline"/>
        <w:rPr>
          <w:rFonts w:hint="eastAsia" w:ascii="楷体_GB2312" w:hAnsi="楷体_GB2312" w:eastAsia="楷体_GB2312" w:cs="楷体_GB2312"/>
          <w:b/>
          <w:bCs/>
          <w:spacing w:val="-13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2025年，本市农作物秸秆产生量为562.76万吨，可收集量约524.91万吨，利用量479.79万吨，利用率为91.4%。</w:t>
      </w:r>
    </w:p>
    <w:p w14:paraId="45D383A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2.畜禽粪污产生及利用情况</w:t>
      </w:r>
    </w:p>
    <w:p w14:paraId="2192D42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Chars="0" w:firstLine="640" w:firstLineChars="200"/>
        <w:textAlignment w:val="baseline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2025年全市畜禽粪污产生量为1262.46万吨，利用量为1162.67万吨，综合利用率为92.1%。</w:t>
      </w:r>
    </w:p>
    <w:p w14:paraId="0D052D9B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3.废弃农用薄膜回收利用情况</w:t>
      </w:r>
    </w:p>
    <w:p w14:paraId="174F755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Chars="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2025年，全市废旧地膜回收量2.82万吨，回收率为85.69%。</w:t>
      </w:r>
    </w:p>
    <w:p w14:paraId="0764E0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4.废弃农药包装物回收利用情况</w:t>
      </w:r>
    </w:p>
    <w:p w14:paraId="6C84054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Chars="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2025年，本市废弃农药包装物产生量为342吨，回收量为295.68吨，回收率为86.5%，现已全部处置，处置方式为填埋化和焚烧。</w:t>
      </w:r>
    </w:p>
    <w:p w14:paraId="42085BF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8" w:firstLineChars="200"/>
        <w:textAlignment w:val="baseline"/>
        <w:rPr>
          <w:rFonts w:ascii="黑体" w:hAnsi="黑体" w:eastAsia="黑体" w:cs="黑体"/>
          <w:b w:val="0"/>
          <w:bCs w:val="0"/>
          <w:spacing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2"/>
          <w:kern w:val="0"/>
          <w:sz w:val="32"/>
          <w:szCs w:val="32"/>
          <w:lang w:val="en-US" w:eastAsia="en-US" w:bidi="ar-SA"/>
        </w:rPr>
        <w:t>六、</w:t>
      </w:r>
      <w:r>
        <w:rPr>
          <w:rFonts w:ascii="黑体" w:hAnsi="黑体" w:eastAsia="黑体" w:cs="黑体"/>
          <w:b w:val="0"/>
          <w:bCs w:val="0"/>
          <w:spacing w:val="2"/>
          <w:sz w:val="32"/>
          <w:szCs w:val="32"/>
        </w:rPr>
        <w:t>城镇污水处理厂污泥</w:t>
      </w:r>
    </w:p>
    <w:p w14:paraId="44F40A12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leftChars="0" w:firstLine="320" w:firstLineChars="0"/>
        <w:jc w:val="left"/>
        <w:textAlignment w:val="baseline"/>
        <w:rPr>
          <w:rFonts w:hint="eastAsia" w:ascii="楷体_GB2312" w:hAnsi="楷体_GB2312" w:eastAsia="楷体_GB2312" w:cs="楷体_GB2312"/>
          <w:b/>
          <w:bCs/>
          <w:snapToGrid w:val="0"/>
          <w:color w:val="000000"/>
          <w:spacing w:val="-13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2025年，巴彦淖尔市建成并运行的城镇污水处理厂7座，年污泥产生量为7.25万吨，处置量为7.25万吨，处置率100%。</w:t>
      </w:r>
    </w:p>
    <w:p w14:paraId="3DE000D4">
      <w:pPr>
        <w:pStyle w:val="5"/>
        <w:adjustRightInd w:val="0"/>
        <w:snapToGrid w:val="0"/>
        <w:spacing w:before="0" w:beforeAutospacing="0" w:after="0" w:afterAutospacing="0" w:line="360" w:lineRule="auto"/>
        <w:ind w:firstLine="640" w:firstLineChars="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七、再生资源</w:t>
      </w:r>
    </w:p>
    <w:p w14:paraId="573E3C4B">
      <w:pPr>
        <w:ind w:firstLine="643" w:firstLineChars="200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废旧车用动力电池回收、利用及拆解处理情况</w:t>
      </w:r>
    </w:p>
    <w:p w14:paraId="1A509A87">
      <w:pPr>
        <w:pStyle w:val="5"/>
        <w:adjustRightInd w:val="0"/>
        <w:snapToGrid w:val="0"/>
        <w:spacing w:before="0" w:beforeAutospacing="0" w:after="0" w:afterAutospacing="0" w:line="360" w:lineRule="auto"/>
        <w:ind w:firstLine="640" w:firstLineChars="200"/>
        <w:jc w:val="both"/>
        <w:rPr>
          <w:rFonts w:hint="default" w:ascii="楷体_GB2312" w:hAnsi="楷体_GB2312" w:eastAsia="楷体_GB2312" w:cs="楷体_GB2312"/>
          <w:b/>
          <w:bCs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2025年，本市废旧车用动力电池回收量0.002039万吨梯级利用量0万吨，再生利用量0.00075万吨，拆解处理量0.000205 万吨。</w:t>
      </w:r>
    </w:p>
    <w:p w14:paraId="50EA0405">
      <w:pPr>
        <w:pStyle w:val="5"/>
        <w:adjustRightInd w:val="0"/>
        <w:snapToGrid w:val="0"/>
        <w:spacing w:before="0" w:beforeAutospacing="0" w:after="0" w:afterAutospacing="0" w:line="360" w:lineRule="auto"/>
        <w:ind w:firstLine="643" w:firstLineChars="200"/>
        <w:jc w:val="both"/>
        <w:rPr>
          <w:rFonts w:hint="default" w:ascii="楷体_GB2312" w:hAnsi="楷体_GB2312" w:eastAsia="楷体_GB2312" w:cs="楷体_GB2312"/>
          <w:b/>
          <w:bCs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snapToGrid w:val="0"/>
          <w:color w:val="000000"/>
          <w:kern w:val="0"/>
          <w:sz w:val="32"/>
          <w:szCs w:val="32"/>
          <w:lang w:val="en-US" w:eastAsia="zh-CN" w:bidi="ar-SA"/>
        </w:rPr>
        <w:t>2</w:t>
      </w:r>
      <w:r>
        <w:rPr>
          <w:rFonts w:hint="eastAsia" w:ascii="楷体_GB2312" w:hAnsi="楷体_GB2312" w:eastAsia="楷体_GB2312" w:cs="楷体_GB2312"/>
          <w:b/>
          <w:bCs/>
          <w:snapToGrid w:val="0"/>
          <w:color w:val="000000"/>
          <w:kern w:val="0"/>
          <w:sz w:val="32"/>
          <w:szCs w:val="32"/>
          <w:lang w:val="en-US" w:eastAsia="zh-CN" w:bidi="ar-SA"/>
        </w:rPr>
        <w:t>.</w:t>
      </w:r>
      <w:r>
        <w:rPr>
          <w:rFonts w:hint="default" w:ascii="楷体_GB2312" w:hAnsi="楷体_GB2312" w:eastAsia="楷体_GB2312" w:cs="楷体_GB2312"/>
          <w:b/>
          <w:bCs/>
          <w:snapToGrid w:val="0"/>
          <w:color w:val="000000"/>
          <w:kern w:val="0"/>
          <w:sz w:val="32"/>
          <w:szCs w:val="32"/>
          <w:lang w:val="en-US" w:eastAsia="zh-CN" w:bidi="ar-SA"/>
        </w:rPr>
        <w:t>报废机动车回收及拆解情况</w:t>
      </w:r>
    </w:p>
    <w:p w14:paraId="3D915954">
      <w:pPr>
        <w:pStyle w:val="5"/>
        <w:adjustRightInd w:val="0"/>
        <w:snapToGrid w:val="0"/>
        <w:spacing w:before="0" w:beforeAutospacing="0" w:after="0" w:afterAutospacing="0" w:line="360" w:lineRule="auto"/>
        <w:ind w:firstLine="640" w:firstLineChars="200"/>
        <w:jc w:val="both"/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2025年，报废机动车回收量8147辆，约0.9981万吨;主要拆解产物包括废铁、废铜、废铝、废塑料、废玻璃等拆解产物总量0.6914万吨，处置量0.7532万吨。</w:t>
      </w:r>
    </w:p>
    <w:p w14:paraId="5E15042F">
      <w:pPr>
        <w:pStyle w:val="5"/>
        <w:adjustRightInd w:val="0"/>
        <w:snapToGrid w:val="0"/>
        <w:spacing w:before="0" w:beforeAutospacing="0" w:after="0" w:afterAutospacing="0" w:line="360" w:lineRule="auto"/>
        <w:ind w:firstLine="640" w:firstLineChars="200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 w:cs="黑体"/>
          <w:sz w:val="32"/>
          <w:szCs w:val="32"/>
        </w:rPr>
        <w:t xml:space="preserve">、其他内容 </w:t>
      </w:r>
    </w:p>
    <w:p w14:paraId="2219BD6E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1.信息发布城市：巴彦淖尔市</w:t>
      </w:r>
    </w:p>
    <w:p w14:paraId="77EB2C41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2.信息发布机构：巴彦淖尔市生态环境局</w:t>
      </w:r>
    </w:p>
    <w:p w14:paraId="7B63DF55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3.信息发布日期：202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</w:p>
    <w:p w14:paraId="44FF4ADE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4.信息发布周期：一年一次</w:t>
      </w:r>
    </w:p>
    <w:p w14:paraId="28A73B9E">
      <w:pPr>
        <w:spacing w:line="360" w:lineRule="auto"/>
        <w:ind w:left="2558" w:leftChars="304" w:hanging="1920" w:hangingChars="6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5.信息来源：2025年度内蒙古自治区固体废物信息管理系统、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巴彦淖尔市住房和城乡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建设局、巴彦淖尔市农牧局、巴彦淖尔市商务局</w:t>
      </w:r>
    </w:p>
    <w:p w14:paraId="2CDFED4A">
      <w:pPr>
        <w:pStyle w:val="2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D69E7A3">
      <w:pPr>
        <w:pStyle w:val="2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3A71DDA">
      <w:pPr>
        <w:wordWrap/>
        <w:spacing w:line="360" w:lineRule="auto"/>
        <w:ind w:firstLine="4480" w:firstLineChars="14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巴彦淖尔市生态环境局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</w:t>
      </w:r>
    </w:p>
    <w:p w14:paraId="10043D5C">
      <w:pPr>
        <w:pStyle w:val="2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34B4178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textAlignment w:val="baseline"/>
        <w:rPr>
          <w:rFonts w:hint="default" w:ascii="黑体" w:hAnsi="黑体" w:eastAsia="黑体" w:cs="黑体"/>
          <w:b/>
          <w:bCs/>
          <w:spacing w:val="2"/>
          <w:sz w:val="29"/>
          <w:szCs w:val="29"/>
          <w:lang w:val="en-US" w:eastAsia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ˎ̥">
    <w:altName w:val="思源宋体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FB2C6F">
    <w:pPr>
      <w:spacing w:line="174" w:lineRule="auto"/>
      <w:ind w:right="25"/>
      <w:jc w:val="center"/>
      <w:rPr>
        <w:rFonts w:ascii="仿宋" w:hAnsi="仿宋" w:eastAsia="仿宋" w:cs="仿宋"/>
        <w:sz w:val="29"/>
        <w:szCs w:val="2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4ODE2ZmJmNzI3ODQ4ZmM1ZjRhNzFkY2UwZDA1ZTIifQ=="/>
  </w:docVars>
  <w:rsids>
    <w:rsidRoot w:val="60CE47F8"/>
    <w:rsid w:val="00456EC7"/>
    <w:rsid w:val="0078768E"/>
    <w:rsid w:val="00907A0F"/>
    <w:rsid w:val="00DD20E9"/>
    <w:rsid w:val="0156177E"/>
    <w:rsid w:val="016245C6"/>
    <w:rsid w:val="01EC3E90"/>
    <w:rsid w:val="020E1F1F"/>
    <w:rsid w:val="023D46EC"/>
    <w:rsid w:val="02D72458"/>
    <w:rsid w:val="0309454F"/>
    <w:rsid w:val="03254461"/>
    <w:rsid w:val="044F4710"/>
    <w:rsid w:val="04DC01EC"/>
    <w:rsid w:val="05D610DF"/>
    <w:rsid w:val="063C5D6D"/>
    <w:rsid w:val="06837909"/>
    <w:rsid w:val="069A210C"/>
    <w:rsid w:val="069B7C33"/>
    <w:rsid w:val="06A64F55"/>
    <w:rsid w:val="06B07B82"/>
    <w:rsid w:val="07554285"/>
    <w:rsid w:val="0781507A"/>
    <w:rsid w:val="0831084F"/>
    <w:rsid w:val="094516FA"/>
    <w:rsid w:val="095A3DD5"/>
    <w:rsid w:val="09BE6112"/>
    <w:rsid w:val="09CA2D09"/>
    <w:rsid w:val="09D9633F"/>
    <w:rsid w:val="0A2D14EA"/>
    <w:rsid w:val="0AAF1EFF"/>
    <w:rsid w:val="0B354F6E"/>
    <w:rsid w:val="0B4D1E43"/>
    <w:rsid w:val="0CC2416B"/>
    <w:rsid w:val="0CEC2F96"/>
    <w:rsid w:val="0D554FDF"/>
    <w:rsid w:val="0D7D4536"/>
    <w:rsid w:val="0D8F6585"/>
    <w:rsid w:val="0F781459"/>
    <w:rsid w:val="0F7E5CE7"/>
    <w:rsid w:val="0FAC4C5F"/>
    <w:rsid w:val="0FFF7484"/>
    <w:rsid w:val="10150A56"/>
    <w:rsid w:val="10482BD9"/>
    <w:rsid w:val="104B17E4"/>
    <w:rsid w:val="109F6DD2"/>
    <w:rsid w:val="10A342B4"/>
    <w:rsid w:val="10D15ED6"/>
    <w:rsid w:val="10D26947"/>
    <w:rsid w:val="10D91A83"/>
    <w:rsid w:val="10F60887"/>
    <w:rsid w:val="129C0FBA"/>
    <w:rsid w:val="12DB32A6"/>
    <w:rsid w:val="13203999"/>
    <w:rsid w:val="13313DF9"/>
    <w:rsid w:val="13440730"/>
    <w:rsid w:val="13D33102"/>
    <w:rsid w:val="13E64BE3"/>
    <w:rsid w:val="13EE3A98"/>
    <w:rsid w:val="14795A57"/>
    <w:rsid w:val="148461AA"/>
    <w:rsid w:val="14CE3FE6"/>
    <w:rsid w:val="15190FE8"/>
    <w:rsid w:val="158D108E"/>
    <w:rsid w:val="15C947BC"/>
    <w:rsid w:val="15CA748C"/>
    <w:rsid w:val="15F555B1"/>
    <w:rsid w:val="16201F02"/>
    <w:rsid w:val="166852AE"/>
    <w:rsid w:val="178667FD"/>
    <w:rsid w:val="18283784"/>
    <w:rsid w:val="183A374F"/>
    <w:rsid w:val="18414ADE"/>
    <w:rsid w:val="18A87C76"/>
    <w:rsid w:val="192817FA"/>
    <w:rsid w:val="192D5062"/>
    <w:rsid w:val="19E503A8"/>
    <w:rsid w:val="1A381F10"/>
    <w:rsid w:val="1A587EBD"/>
    <w:rsid w:val="1AD4401E"/>
    <w:rsid w:val="1BBE6445"/>
    <w:rsid w:val="1BCA6B98"/>
    <w:rsid w:val="1C404B9C"/>
    <w:rsid w:val="1C632C9F"/>
    <w:rsid w:val="1C6C5EA1"/>
    <w:rsid w:val="1DCE373B"/>
    <w:rsid w:val="1E6A6411"/>
    <w:rsid w:val="1FC102B2"/>
    <w:rsid w:val="21026C3C"/>
    <w:rsid w:val="210270E6"/>
    <w:rsid w:val="212E5E1B"/>
    <w:rsid w:val="216F495C"/>
    <w:rsid w:val="218912A4"/>
    <w:rsid w:val="219771BE"/>
    <w:rsid w:val="229D6DB5"/>
    <w:rsid w:val="237044C9"/>
    <w:rsid w:val="237D6BE6"/>
    <w:rsid w:val="24A312CE"/>
    <w:rsid w:val="24B2466D"/>
    <w:rsid w:val="25265777"/>
    <w:rsid w:val="257A162F"/>
    <w:rsid w:val="25853B30"/>
    <w:rsid w:val="26CA3EF0"/>
    <w:rsid w:val="26D94133"/>
    <w:rsid w:val="27736336"/>
    <w:rsid w:val="287560DE"/>
    <w:rsid w:val="28DD131C"/>
    <w:rsid w:val="28F811E9"/>
    <w:rsid w:val="290F208E"/>
    <w:rsid w:val="292709B0"/>
    <w:rsid w:val="294C5091"/>
    <w:rsid w:val="2A176408"/>
    <w:rsid w:val="2A5F2BA2"/>
    <w:rsid w:val="2AE17A5A"/>
    <w:rsid w:val="2AFA72B8"/>
    <w:rsid w:val="2B365FF8"/>
    <w:rsid w:val="2B7D608D"/>
    <w:rsid w:val="2BF437BD"/>
    <w:rsid w:val="2C705792"/>
    <w:rsid w:val="2C8C54F3"/>
    <w:rsid w:val="2D4D587B"/>
    <w:rsid w:val="2D92072F"/>
    <w:rsid w:val="2DAD5553"/>
    <w:rsid w:val="2DE47F8D"/>
    <w:rsid w:val="2DF75FEE"/>
    <w:rsid w:val="2E350666"/>
    <w:rsid w:val="2E6B5FB9"/>
    <w:rsid w:val="2E8B665B"/>
    <w:rsid w:val="2E980D78"/>
    <w:rsid w:val="2E9C43C4"/>
    <w:rsid w:val="2EF97A69"/>
    <w:rsid w:val="2EFD0590"/>
    <w:rsid w:val="2FAF5F15"/>
    <w:rsid w:val="2FF16992"/>
    <w:rsid w:val="30E14785"/>
    <w:rsid w:val="31462D0D"/>
    <w:rsid w:val="31741628"/>
    <w:rsid w:val="31960443"/>
    <w:rsid w:val="319E0453"/>
    <w:rsid w:val="31C15919"/>
    <w:rsid w:val="32A4731C"/>
    <w:rsid w:val="331A1D5C"/>
    <w:rsid w:val="33A65CE5"/>
    <w:rsid w:val="33DC1707"/>
    <w:rsid w:val="34006481"/>
    <w:rsid w:val="34525525"/>
    <w:rsid w:val="3489363D"/>
    <w:rsid w:val="34A73AC3"/>
    <w:rsid w:val="34F5482E"/>
    <w:rsid w:val="35260FC4"/>
    <w:rsid w:val="35342E46"/>
    <w:rsid w:val="357F059C"/>
    <w:rsid w:val="35A41DB0"/>
    <w:rsid w:val="35C11842"/>
    <w:rsid w:val="36962041"/>
    <w:rsid w:val="373A0C1E"/>
    <w:rsid w:val="375D490D"/>
    <w:rsid w:val="37C64260"/>
    <w:rsid w:val="37ED3EE3"/>
    <w:rsid w:val="38DE5D24"/>
    <w:rsid w:val="391F631E"/>
    <w:rsid w:val="39AD3929"/>
    <w:rsid w:val="3A0432EA"/>
    <w:rsid w:val="3A810912"/>
    <w:rsid w:val="3ADD023E"/>
    <w:rsid w:val="3AE96BE3"/>
    <w:rsid w:val="3B1D2295"/>
    <w:rsid w:val="3B514788"/>
    <w:rsid w:val="3B8C756F"/>
    <w:rsid w:val="3BEC28F8"/>
    <w:rsid w:val="3C1D466B"/>
    <w:rsid w:val="3C343764"/>
    <w:rsid w:val="3C6329C5"/>
    <w:rsid w:val="3C642299"/>
    <w:rsid w:val="3CC52D38"/>
    <w:rsid w:val="3CF33D49"/>
    <w:rsid w:val="3CF63839"/>
    <w:rsid w:val="3DCC00F6"/>
    <w:rsid w:val="3DF5589F"/>
    <w:rsid w:val="3E5767B1"/>
    <w:rsid w:val="3E5A1BA6"/>
    <w:rsid w:val="3F5D7BA0"/>
    <w:rsid w:val="3F650802"/>
    <w:rsid w:val="3FBB48C6"/>
    <w:rsid w:val="40251061"/>
    <w:rsid w:val="404115CD"/>
    <w:rsid w:val="4044666A"/>
    <w:rsid w:val="4100428C"/>
    <w:rsid w:val="41072898"/>
    <w:rsid w:val="41517290"/>
    <w:rsid w:val="4157323C"/>
    <w:rsid w:val="41E93DE1"/>
    <w:rsid w:val="41F655A6"/>
    <w:rsid w:val="42003488"/>
    <w:rsid w:val="431C38CE"/>
    <w:rsid w:val="431C567C"/>
    <w:rsid w:val="440A5CC8"/>
    <w:rsid w:val="444E5D09"/>
    <w:rsid w:val="44EB79FC"/>
    <w:rsid w:val="452700EC"/>
    <w:rsid w:val="4537679D"/>
    <w:rsid w:val="456D21BF"/>
    <w:rsid w:val="45E306D3"/>
    <w:rsid w:val="464C44CA"/>
    <w:rsid w:val="465D66D7"/>
    <w:rsid w:val="47084895"/>
    <w:rsid w:val="473C5EA5"/>
    <w:rsid w:val="47750AE1"/>
    <w:rsid w:val="48806059"/>
    <w:rsid w:val="48B9571B"/>
    <w:rsid w:val="48BA1BBF"/>
    <w:rsid w:val="48E22EC4"/>
    <w:rsid w:val="496B110B"/>
    <w:rsid w:val="49845D29"/>
    <w:rsid w:val="49D67613"/>
    <w:rsid w:val="49E67795"/>
    <w:rsid w:val="49F15899"/>
    <w:rsid w:val="49FA19D9"/>
    <w:rsid w:val="4A084BAC"/>
    <w:rsid w:val="4A3E412A"/>
    <w:rsid w:val="4A525E27"/>
    <w:rsid w:val="4A974E7C"/>
    <w:rsid w:val="4A987CDE"/>
    <w:rsid w:val="4AA923F3"/>
    <w:rsid w:val="4AC565F9"/>
    <w:rsid w:val="4AFB026D"/>
    <w:rsid w:val="4B680F81"/>
    <w:rsid w:val="4B7F49FA"/>
    <w:rsid w:val="4BEA4569"/>
    <w:rsid w:val="4BFE4973"/>
    <w:rsid w:val="4C5916EF"/>
    <w:rsid w:val="4CB1192D"/>
    <w:rsid w:val="4DB34E2F"/>
    <w:rsid w:val="4DC332C4"/>
    <w:rsid w:val="4E467A51"/>
    <w:rsid w:val="4E74636C"/>
    <w:rsid w:val="4E9B1BC4"/>
    <w:rsid w:val="4F365D17"/>
    <w:rsid w:val="4F7D56F4"/>
    <w:rsid w:val="4FA95577"/>
    <w:rsid w:val="4FC62DB8"/>
    <w:rsid w:val="51290356"/>
    <w:rsid w:val="5173582B"/>
    <w:rsid w:val="518F07D2"/>
    <w:rsid w:val="51C55131"/>
    <w:rsid w:val="51D05FAF"/>
    <w:rsid w:val="51E43809"/>
    <w:rsid w:val="523A78CD"/>
    <w:rsid w:val="528374C6"/>
    <w:rsid w:val="52840914"/>
    <w:rsid w:val="52BE22AC"/>
    <w:rsid w:val="52D345C4"/>
    <w:rsid w:val="532A7941"/>
    <w:rsid w:val="536F7A4A"/>
    <w:rsid w:val="53BB4C56"/>
    <w:rsid w:val="54556C40"/>
    <w:rsid w:val="54992FD0"/>
    <w:rsid w:val="552A218C"/>
    <w:rsid w:val="558A0B6B"/>
    <w:rsid w:val="55B87486"/>
    <w:rsid w:val="56C41E5B"/>
    <w:rsid w:val="57572833"/>
    <w:rsid w:val="57A9177C"/>
    <w:rsid w:val="584274DB"/>
    <w:rsid w:val="585F62DF"/>
    <w:rsid w:val="594352B9"/>
    <w:rsid w:val="599F48BC"/>
    <w:rsid w:val="5A011459"/>
    <w:rsid w:val="5A4F3794"/>
    <w:rsid w:val="5A8D7133"/>
    <w:rsid w:val="5B9444F1"/>
    <w:rsid w:val="5BB57FC4"/>
    <w:rsid w:val="5BD1555D"/>
    <w:rsid w:val="5CBC5AAE"/>
    <w:rsid w:val="5CF07506"/>
    <w:rsid w:val="5D720F42"/>
    <w:rsid w:val="5DE74DAC"/>
    <w:rsid w:val="5E2A6A47"/>
    <w:rsid w:val="5E89313C"/>
    <w:rsid w:val="5EFA0B0F"/>
    <w:rsid w:val="60062D6D"/>
    <w:rsid w:val="60CE47F8"/>
    <w:rsid w:val="60E35C83"/>
    <w:rsid w:val="60FB0B6F"/>
    <w:rsid w:val="615A6FF1"/>
    <w:rsid w:val="62255EA3"/>
    <w:rsid w:val="63E87188"/>
    <w:rsid w:val="640C52A2"/>
    <w:rsid w:val="64F2598F"/>
    <w:rsid w:val="650E0E71"/>
    <w:rsid w:val="656B0229"/>
    <w:rsid w:val="65DA2A69"/>
    <w:rsid w:val="65F20792"/>
    <w:rsid w:val="66FE4F15"/>
    <w:rsid w:val="67386D5D"/>
    <w:rsid w:val="674643A0"/>
    <w:rsid w:val="674C7A2E"/>
    <w:rsid w:val="67874F0A"/>
    <w:rsid w:val="67A91325"/>
    <w:rsid w:val="6852376A"/>
    <w:rsid w:val="68684D3C"/>
    <w:rsid w:val="68AA0EB0"/>
    <w:rsid w:val="69C37EAA"/>
    <w:rsid w:val="6AEA5EDC"/>
    <w:rsid w:val="6BD050D2"/>
    <w:rsid w:val="6BE50451"/>
    <w:rsid w:val="6BE566A3"/>
    <w:rsid w:val="6C315445"/>
    <w:rsid w:val="6C5775A1"/>
    <w:rsid w:val="6C6475C8"/>
    <w:rsid w:val="6CA16A6E"/>
    <w:rsid w:val="6CC4275D"/>
    <w:rsid w:val="6CF05300"/>
    <w:rsid w:val="6D0019E7"/>
    <w:rsid w:val="6EAC75A3"/>
    <w:rsid w:val="6F2A2D4B"/>
    <w:rsid w:val="6FE078AE"/>
    <w:rsid w:val="705931BC"/>
    <w:rsid w:val="70B7732E"/>
    <w:rsid w:val="71F4319C"/>
    <w:rsid w:val="720A6E64"/>
    <w:rsid w:val="721627CF"/>
    <w:rsid w:val="72E53B38"/>
    <w:rsid w:val="72FD2105"/>
    <w:rsid w:val="73797DFD"/>
    <w:rsid w:val="73944C37"/>
    <w:rsid w:val="73F05BE5"/>
    <w:rsid w:val="74AF5AA0"/>
    <w:rsid w:val="74B03CF2"/>
    <w:rsid w:val="75625848"/>
    <w:rsid w:val="759D2392"/>
    <w:rsid w:val="75D51537"/>
    <w:rsid w:val="75D94B83"/>
    <w:rsid w:val="76045978"/>
    <w:rsid w:val="76CF6EC2"/>
    <w:rsid w:val="76EA1012"/>
    <w:rsid w:val="77434EBB"/>
    <w:rsid w:val="77C33A51"/>
    <w:rsid w:val="77D575CC"/>
    <w:rsid w:val="785B21C7"/>
    <w:rsid w:val="787D038F"/>
    <w:rsid w:val="788F00C3"/>
    <w:rsid w:val="792627D5"/>
    <w:rsid w:val="79780B57"/>
    <w:rsid w:val="7A205476"/>
    <w:rsid w:val="7A4078C7"/>
    <w:rsid w:val="7C914409"/>
    <w:rsid w:val="7CF90201"/>
    <w:rsid w:val="7DD6409E"/>
    <w:rsid w:val="7E553215"/>
    <w:rsid w:val="7E5751DF"/>
    <w:rsid w:val="7E5C0A47"/>
    <w:rsid w:val="7E7B3C1E"/>
    <w:rsid w:val="7F323556"/>
    <w:rsid w:val="7FF57D5C"/>
    <w:rsid w:val="EBBB0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Body Text Indent"/>
    <w:basedOn w:val="1"/>
    <w:autoRedefine/>
    <w:qFormat/>
    <w:uiPriority w:val="0"/>
    <w:pPr>
      <w:spacing w:after="120" w:afterLines="0" w:afterAutospacing="0"/>
      <w:ind w:left="420" w:leftChars="200"/>
    </w:p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TOC2"/>
    <w:basedOn w:val="1"/>
    <w:next w:val="1"/>
    <w:qFormat/>
    <w:uiPriority w:val="0"/>
    <w:pPr>
      <w:ind w:left="210"/>
      <w:jc w:val="left"/>
    </w:pPr>
    <w:rPr>
      <w:smallCaps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hart" Target="charts/chart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&#24037;&#20316;&#31807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1400" b="0" i="0" u="none" strike="noStrike" kern="1200" spc="0" baseline="0">
              <a:solidFill>
                <a:srgbClr val="595959">
                  <a:lumMod val="65000"/>
                  <a:lumOff val="35000"/>
                </a:srgbClr>
              </a:solidFill>
              <a:latin typeface="+mn-lt"/>
              <a:ea typeface="+mn-ea"/>
              <a:cs typeface="+mn-cs"/>
            </a:defRPr>
          </a:pPr>
        </a:p>
      </c:txPr>
    </c:title>
    <c:autoTitleDeleted val="0"/>
    <c:plotArea>
      <c:layout/>
      <c:pieChart>
        <c:varyColors val="1"/>
        <c:ser>
          <c:idx val="0"/>
          <c:order val="0"/>
          <c:spPr/>
          <c:explosion val="0"/>
          <c:dPt>
            <c:idx val="0"/>
            <c:bubble3D val="0"/>
            <c:spPr>
              <a:solidFill>
                <a:srgbClr val="4F81BD"/>
              </a:solidFill>
              <a:ln w="19050">
                <a:solidFill>
                  <a:srgbClr val="FFFFFF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C0504D"/>
              </a:solidFill>
              <a:ln w="19050">
                <a:solidFill>
                  <a:srgbClr val="FFFFFF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9BBB59"/>
              </a:solidFill>
              <a:ln w="19050">
                <a:solidFill>
                  <a:srgbClr val="FFFFFF"/>
                </a:solidFill>
              </a:ln>
              <a:effectLst/>
            </c:spPr>
          </c:dPt>
          <c:dPt>
            <c:idx val="3"/>
            <c:bubble3D val="0"/>
            <c:spPr>
              <a:solidFill>
                <a:srgbClr val="8064A2"/>
              </a:solidFill>
              <a:ln w="19050">
                <a:solidFill>
                  <a:srgbClr val="FFFFFF"/>
                </a:solidFill>
              </a:ln>
              <a:effectLst/>
            </c:spPr>
          </c:dPt>
          <c:dPt>
            <c:idx val="4"/>
            <c:bubble3D val="0"/>
            <c:spPr>
              <a:solidFill>
                <a:srgbClr val="4BACC6"/>
              </a:solidFill>
              <a:ln w="19050">
                <a:solidFill>
                  <a:srgbClr val="FFFFFF"/>
                </a:solidFill>
              </a:ln>
              <a:effectLst/>
            </c:spPr>
          </c:dPt>
          <c:dLbls>
            <c:dLbl>
              <c:idx val="0"/>
              <c:layout/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/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/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/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rgbClr val="404040">
                        <a:lumMod val="75000"/>
                        <a:lumOff val="25000"/>
                      </a:srgb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0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rgbClr val="A6A6A6">
                          <a:lumMod val="35000"/>
                          <a:lumOff val="65000"/>
                        </a:srgb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[工作簿1]Sheet1!$D$9:$D$13</c:f>
              <c:strCache>
                <c:ptCount val="5"/>
                <c:pt idx="0">
                  <c:v>工程渣土</c:v>
                </c:pt>
                <c:pt idx="1">
                  <c:v>拆除垃圾</c:v>
                </c:pt>
                <c:pt idx="2">
                  <c:v>工程垃圾</c:v>
                </c:pt>
                <c:pt idx="3">
                  <c:v>装修垃圾</c:v>
                </c:pt>
                <c:pt idx="4">
                  <c:v>工程泥浆</c:v>
                </c:pt>
              </c:strCache>
            </c:strRef>
          </c:cat>
          <c:val>
            <c:numRef>
              <c:f>[工作簿1]Sheet1!$E$9:$E$13</c:f>
              <c:numCache>
                <c:formatCode>0%</c:formatCode>
                <c:ptCount val="5"/>
                <c:pt idx="0">
                  <c:v>0.5</c:v>
                </c:pt>
                <c:pt idx="1">
                  <c:v>0.3</c:v>
                </c:pt>
                <c:pt idx="2">
                  <c:v>0.1</c:v>
                </c:pt>
                <c:pt idx="3">
                  <c:v>0.1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rgbClr val="595959">
                  <a:lumMod val="65000"/>
                  <a:lumOff val="35000"/>
                </a:srgb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35c5305-0ea1-438d-89aa-35feab808ff9}"/>
      </c:ext>
    </c:extLst>
  </c:chart>
  <c:spPr>
    <a:solidFill>
      <a:srgbClr val="FFFFFF"/>
    </a:solidFill>
    <a:ln w="9525" cap="flat" cmpd="sng" algn="ctr">
      <a:solidFill>
        <a:srgbClr val="D9D9D9">
          <a:lumMod val="15000"/>
          <a:lumOff val="85000"/>
        </a:srgb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rgbClr val="4F81BD"/>
  <a:srgbClr val="C0504D"/>
  <a:srgbClr val="9BBB59"/>
  <a:srgbClr val="8064A2"/>
  <a:srgbClr val="4BACC6"/>
  <a:srgbClr val="F7964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rgbClr val="595959">
        <a:lumMod val="65000"/>
        <a:lumOff val="35000"/>
      </a:srgbClr>
    </cs:fontRef>
    <cs:defRPr sz="1000" kern="1200"/>
  </cs:axisTitle>
  <cs:categoryAxis>
    <cs:lnRef idx="0"/>
    <cs:fillRef idx="0"/>
    <cs:effectRef idx="0"/>
    <cs:fontRef idx="minor">
      <a:srgbClr val="595959">
        <a:lumMod val="65000"/>
        <a:lumOff val="35000"/>
      </a:srgbClr>
    </cs:fontRef>
    <cs:spPr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rgbClr val="000000"/>
    </cs:fontRef>
    <cs:spPr>
      <a:solidFill>
        <a:srgbClr val="FFFFFF"/>
      </a:solidFill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  <cs:defRPr sz="900" kern="1200"/>
  </cs:chartArea>
  <cs:dataLabel>
    <cs:lnRef idx="0"/>
    <cs:fillRef idx="0"/>
    <cs:effectRef idx="0"/>
    <cs:fontRef idx="minor">
      <a:srgbClr val="404040">
        <a:lumMod val="75000"/>
        <a:lumOff val="25000"/>
      </a:srgbClr>
    </cs:fontRef>
    <cs:defRPr sz="900" kern="1200"/>
  </cs:dataLabel>
  <cs:dataLabelCallout>
    <cs:lnRef idx="0"/>
    <cs:fillRef idx="0"/>
    <cs:effectRef idx="0"/>
    <cs:fontRef idx="minor">
      <a:srgbClr val="595959">
        <a:lumMod val="65000"/>
        <a:lumOff val="35000"/>
      </a:srgbClr>
    </cs:fontRef>
    <cs:spPr>
      <a:solidFill>
        <a:srgbClr val="FFFFFF"/>
      </a:solidFill>
      <a:ln>
        <a:solidFill>
          <a:srgbClr val="BFBFBF">
            <a:lumMod val="25000"/>
            <a:lumOff val="75000"/>
          </a:srgb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rgbClr val="000000"/>
    </cs:fontRef>
    <cs:spPr>
      <a:ln w="19050">
        <a:solidFill>
          <a:srgbClr val="FFFFFF"/>
        </a:solidFill>
      </a:ln>
    </cs:spPr>
  </cs:dataPoint>
  <cs:dataPoint3D>
    <cs:lnRef idx="0"/>
    <cs:fillRef idx="1">
      <cs:styleClr val="auto"/>
    </cs:fillRef>
    <cs:effectRef idx="0"/>
    <cs:fontRef idx="minor">
      <a:srgbClr val="000000"/>
    </cs:fontRef>
    <cs:spPr>
      <a:ln w="25400">
        <a:solidFill>
          <a:srgbClr val="FFFFFF"/>
        </a:solidFill>
      </a:ln>
    </cs:spPr>
  </cs:dataPoint3D>
  <cs:dataPointLine>
    <cs:lnRef idx="0">
      <cs:styleClr val="auto"/>
    </cs:lnRef>
    <cs:fillRef idx="0"/>
    <cs:effectRef idx="0"/>
    <cs:fontRef idx="minor">
      <a:srgbClr val="000000"/>
    </cs:fontRef>
    <cs:spPr>
      <a:ln w="28575" cap="rnd">
        <a:solidFill>
          <a:srgbClr val="FFFFFF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rgbClr val="000000"/>
    </cs:fontRef>
    <cs:spPr>
      <a:ln w="9525">
        <a:solidFill>
          <a:srgbClr val="FFFFFF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rgbClr val="000000"/>
    </cs:fontRef>
    <cs:spPr>
      <a:ln w="9525" cap="rnd">
        <a:solidFill>
          <a:srgbClr val="FFFFFF"/>
        </a:solidFill>
        <a:round/>
      </a:ln>
    </cs:spPr>
  </cs:dataPointWireframe>
  <cs:dataTable>
    <cs:lnRef idx="0"/>
    <cs:fillRef idx="0"/>
    <cs:effectRef idx="0"/>
    <cs:fontRef idx="minor">
      <a:srgbClr val="595959">
        <a:lumMod val="65000"/>
        <a:lumOff val="35000"/>
      </a:srgbClr>
    </cs:fontRef>
    <cs:spPr>
      <a:noFill/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  <cs:defRPr sz="900" kern="1200"/>
  </cs:dataTable>
  <cs:downBar>
    <cs:lnRef idx="0"/>
    <cs:fillRef idx="0"/>
    <cs:effectRef idx="0"/>
    <cs:fontRef idx="minor">
      <a:srgbClr val="000000"/>
    </cs:fontRef>
    <cs:spPr>
      <a:solidFill>
        <a:srgbClr val="404040">
          <a:lumMod val="75000"/>
          <a:lumOff val="25000"/>
        </a:srgbClr>
      </a:solidFill>
      <a:ln w="9525" cap="flat" cmpd="sng" algn="ctr">
        <a:solidFill>
          <a:srgbClr val="595959">
            <a:lumMod val="65000"/>
            <a:lumOff val="35000"/>
          </a:srgbClr>
        </a:solidFill>
        <a:round/>
      </a:ln>
    </cs:spPr>
  </cs:downBar>
  <cs:drop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A6A6A6">
            <a:lumMod val="35000"/>
            <a:lumOff val="65000"/>
          </a:srgbClr>
        </a:solidFill>
        <a:round/>
      </a:ln>
    </cs:spPr>
  </cs:dropLine>
  <cs:errorBar>
    <cs:lnRef idx="0"/>
    <cs:fillRef idx="0"/>
    <cs:effectRef idx="0"/>
    <cs:fontRef idx="minor">
      <a:srgbClr val="000000"/>
    </cs:fontRef>
    <cs:spPr>
      <a:ln w="9525" cap="flat" cmpd="sng" algn="ctr">
        <a:solidFill>
          <a:srgbClr val="595959">
            <a:lumMod val="65000"/>
            <a:lumOff val="35000"/>
          </a:srgbClr>
        </a:solidFill>
        <a:round/>
      </a:ln>
    </cs:spPr>
  </cs:errorBar>
  <cs:floor>
    <cs:lnRef idx="0"/>
    <cs:fillRef idx="0"/>
    <cs:effectRef idx="0"/>
    <cs:fontRef idx="minor">
      <a:srgbClr val="000000"/>
    </cs:fontRef>
    <cs:spPr>
      <a:noFill/>
      <a:ln>
        <a:noFill/>
      </a:ln>
    </cs:spPr>
  </cs:floor>
  <cs:gridlineMajor>
    <cs:lnRef idx="0"/>
    <cs:fillRef idx="0"/>
    <cs:effectRef idx="0"/>
    <cs:fontRef idx="minor">
      <a:srgbClr val="000000"/>
    </cs:fontRef>
    <cs:spPr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</cs:gridlineMajor>
  <cs:gridlineMinor>
    <cs:lnRef idx="0"/>
    <cs:fillRef idx="0"/>
    <cs:effectRef idx="0"/>
    <cs:fontRef idx="minor">
      <a:srgbClr val="000000"/>
    </cs:fontRef>
    <cs:spPr>
      <a:ln w="9525" cap="flat" cmpd="sng" algn="ctr">
        <a:solidFill>
          <a:srgbClr val="F2F2F2">
            <a:lumMod val="5000"/>
            <a:lumOff val="95000"/>
          </a:srgbClr>
        </a:solidFill>
        <a:round/>
      </a:ln>
    </cs:spPr>
  </cs:gridlineMinor>
  <cs:hiLo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808080">
            <a:lumMod val="50000"/>
            <a:lumOff val="50000"/>
          </a:srgbClr>
        </a:solidFill>
        <a:round/>
      </a:ln>
    </cs:spPr>
  </cs:hiLoLine>
  <cs:leader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A6A6A6">
            <a:lumMod val="35000"/>
            <a:lumOff val="65000"/>
          </a:srgbClr>
        </a:solidFill>
        <a:round/>
      </a:ln>
    </cs:spPr>
  </cs:leaderLine>
  <cs:legend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legend>
  <cs:plotArea mods="allowNoFillOverride allowNoLineOverride">
    <cs:lnRef idx="0"/>
    <cs:fillRef idx="0"/>
    <cs:effectRef idx="0"/>
    <cs:fontRef idx="minor">
      <a:srgbClr val="000000"/>
    </cs:fontRef>
  </cs:plotArea>
  <cs:plotArea3D mods="allowNoFillOverride allowNoLineOverride">
    <cs:lnRef idx="0"/>
    <cs:fillRef idx="0"/>
    <cs:effectRef idx="0"/>
    <cs:fontRef idx="minor">
      <a:srgbClr val="000000"/>
    </cs:fontRef>
  </cs:plotArea3D>
  <cs:seriesAxis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seriesAxis>
  <cs:series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A6A6A6">
            <a:lumMod val="35000"/>
            <a:lumOff val="65000"/>
          </a:srgbClr>
        </a:solidFill>
        <a:round/>
      </a:ln>
    </cs:spPr>
  </cs:seriesLine>
  <cs:title>
    <cs:lnRef idx="0"/>
    <cs:fillRef idx="0"/>
    <cs:effectRef idx="0"/>
    <cs:fontRef idx="minor">
      <a:srgbClr val="595959">
        <a:lumMod val="65000"/>
        <a:lumOff val="35000"/>
      </a:srgb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rgbClr val="000000"/>
    </cs:fontRef>
    <cs:spPr>
      <a:ln w="19050" cap="rnd">
        <a:solidFill>
          <a:srgbClr val="FFFFFF"/>
        </a:solidFill>
        <a:prstDash val="sysDot"/>
      </a:ln>
    </cs:spPr>
  </cs:trendline>
  <cs:trendlineLabel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trendlineLabel>
  <cs:upBar>
    <cs:lnRef idx="0"/>
    <cs:fillRef idx="0"/>
    <cs:effectRef idx="0"/>
    <cs:fontRef idx="minor">
      <a:srgbClr val="000000"/>
    </cs:fontRef>
    <cs:spPr>
      <a:solidFill>
        <a:srgbClr val="FFFFFF"/>
      </a:solidFill>
      <a:ln w="9525" cap="flat" cmpd="sng" algn="ctr">
        <a:solidFill>
          <a:srgbClr val="595959">
            <a:lumMod val="65000"/>
            <a:lumOff val="35000"/>
          </a:srgbClr>
        </a:solidFill>
        <a:round/>
      </a:ln>
    </cs:spPr>
  </cs:upBar>
  <cs:valueAxis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valueAxis>
  <cs:wall>
    <cs:lnRef idx="0"/>
    <cs:fillRef idx="0"/>
    <cs:effectRef idx="0"/>
    <cs:fontRef idx="minor">
      <a:srgbClr val="000000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3287</Words>
  <Characters>4459</Characters>
  <Lines>0</Lines>
  <Paragraphs>0</Paragraphs>
  <TotalTime>8</TotalTime>
  <ScaleCrop>false</ScaleCrop>
  <LinksUpToDate>false</LinksUpToDate>
  <CharactersWithSpaces>4527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2024-05-20T11:06:00Z</dcterms:created>
  <dc:creator>武Jeffrey</dc:creator>
  <cp:lastModifiedBy>admin</cp:lastModifiedBy>
  <cp:lastPrinted>2026-06-01T17:31:00Z</cp:lastPrinted>
  <dcterms:modified xsi:type="dcterms:W3CDTF">2026-07-24T11:34:23Z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B6727F41E9B2481F9FA7874F320D5B67_13</vt:lpwstr>
  </property>
  <property fmtid="{D5CDD505-2E9C-101B-9397-08002B2CF9AE}" pid="4" name="KSOTemplateDocerSaveRecord">
    <vt:lpwstr>eyJoZGlkIjoiMmU4ODE2ZmJmNzI3ODQ4ZmM1ZjRhNzFkY2UwZDA1ZTIiLCJ1c2VySWQiOiI2MzI5NTI5MjkifQ==</vt:lpwstr>
  </property>
</Properties>
</file>