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61500">
      <w:pPr>
        <w:spacing w:line="560" w:lineRule="exact"/>
        <w:jc w:val="center"/>
        <w:rPr>
          <w:rFonts w:hint="default" w:ascii="方正小标宋简体" w:hAnsi="宋体" w:eastAsia="方正小标宋简体"/>
          <w:sz w:val="44"/>
          <w:szCs w:val="44"/>
          <w:lang w:val="en-US" w:eastAsia="zh-CN"/>
        </w:rPr>
      </w:pPr>
      <mc:AlternateContent>
        <mc:Choice Requires="wpsCustomData">
          <wpsCustomData:docfieldStart id="0" docfieldname="标题" hidden="0" print="1" readonly="0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巴彦淖尔市生态环境局</w:t>
      </w:r>
    </w:p>
    <w:p w14:paraId="4E7FD9D3"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  <w:lang w:val="en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关于乌拉特中旗潇龙二期110kV输变电工程（线路部分）环境影响报告表的批复</w:t>
      </w:r>
    </w:p>
    <mc:AlternateContent>
      <mc:Choice Requires="wpsCustomData">
        <wpsCustomData:docfieldEnd id="0"/>
      </mc:Choice>
    </mc:AlternateContent>
    <w:p w14:paraId="52498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mc:AlternateContent>
        <mc:Choice Requires="wpsCustomData">
          <wpsCustomData:docfieldStart id="1" docfieldname="主送单位" hidden="0" print="1" readonly="0" index="3"/>
        </mc:Choice>
      </mc:AlternateContent>
      <w:bookmarkStart w:id="0" w:name="主送单位"/>
      <w:bookmarkEnd w:id="0"/>
    </w:p>
    <w:p w14:paraId="6F9AE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巴环辐表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〔20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〕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5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号</w:t>
      </w:r>
    </w:p>
    <w:p w14:paraId="4AB3D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_GB2312" w:hAnsi="仿宋" w:eastAsia="仿宋_GB2312"/>
          <w:bCs/>
          <w:sz w:val="32"/>
          <w:szCs w:val="32"/>
          <w:lang w:val="en"/>
        </w:rPr>
      </w:pPr>
    </w:p>
    <w:p w14:paraId="29ED446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ascii="仿宋_GB2312" w:hAnsi="仿宋" w:eastAsia="仿宋_GB2312"/>
          <w:bCs/>
          <w:sz w:val="32"/>
          <w:szCs w:val="32"/>
        </w:rPr>
      </w:pPr>
      <w:r>
        <w:rPr>
          <w:rFonts w:hint="default" w:ascii="仿宋_GB2312" w:hAnsi="仿宋" w:eastAsia="仿宋_GB2312"/>
          <w:bCs/>
          <w:sz w:val="32"/>
          <w:szCs w:val="32"/>
          <w:lang w:val="en"/>
        </w:rPr>
        <w:t>内蒙古</w:t>
      </w:r>
      <w:r>
        <w:rPr>
          <w:rFonts w:hint="eastAsia" w:ascii="仿宋_GB2312" w:hAnsi="仿宋" w:eastAsia="仿宋_GB2312"/>
          <w:bCs/>
          <w:sz w:val="32"/>
          <w:szCs w:val="32"/>
          <w:lang w:val="en-US" w:eastAsia="zh-CN"/>
        </w:rPr>
        <w:t>潇龙冶金有限</w:t>
      </w:r>
      <w:r>
        <w:rPr>
          <w:rFonts w:hint="default" w:ascii="仿宋_GB2312" w:hAnsi="仿宋" w:eastAsia="仿宋_GB2312"/>
          <w:bCs/>
          <w:sz w:val="32"/>
          <w:szCs w:val="32"/>
          <w:lang w:val="en"/>
        </w:rPr>
        <w:t>公司</w:t>
      </w:r>
      <mc:AlternateContent>
        <mc:Choice Requires="wpsCustomData">
          <wpsCustomData:docfieldEnd id="1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 w14:paraId="75D66D8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mc:AlternateContent>
        <mc:Choice Requires="wpsCustomData">
          <wpsCustomData:docfieldStart id="2" docfieldname="正文文件" hidden="0" print="1" readonly="0" index="4"/>
        </mc:Choice>
      </mc:AlternateContent>
      <w:bookmarkStart w:id="1" w:name="正文文件"/>
      <w:bookmarkEnd w:id="1"/>
      <w:r>
        <w:rPr>
          <w:rFonts w:hint="eastAsia" w:ascii="仿宋_GB2312" w:hAnsi="仿宋" w:eastAsia="仿宋_GB2312"/>
          <w:color w:val="000000"/>
          <w:sz w:val="32"/>
          <w:szCs w:val="32"/>
        </w:rPr>
        <w:t>你公司报送的《乌拉特中旗潇龙二期 110kV 输变电工程（线路部分）环境影响报告表》(以下简称《报告表》)收悉。经研究， 批复如下：</w:t>
      </w:r>
    </w:p>
    <w:p w14:paraId="488D8F0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一、项目建设基本情况</w:t>
      </w:r>
    </w:p>
    <w:p w14:paraId="24F6EA4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本工程主要建设内容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  <w:t>：线路起于金泉220kV变电站110kV侧，止于拟扩建潇龙110kV开关站，线路全长1.1km，其中单回架空线路0.035km（依托现有塔基（金汗1线01号塔）双回路南侧挂线），单回电缆线路1.065km。</w:t>
      </w:r>
    </w:p>
    <w:p w14:paraId="795A455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  <w:t>本项目建设地点位于内蒙古自治区巴彦淖尔市乌拉特中旗。</w:t>
      </w:r>
    </w:p>
    <w:p w14:paraId="02CDF9C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二、总体意见</w:t>
      </w:r>
    </w:p>
    <w:p w14:paraId="23FEB9F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施和下列工作要求后，可以满足国家生态环境保护相关法律法规和标准的要求。从环境保护角度</w:t>
      </w:r>
      <w:r>
        <w:rPr>
          <w:rFonts w:hint="eastAsia" w:ascii="仿宋_GB2312" w:eastAsia="仿宋_GB2312"/>
          <w:color w:val="000000"/>
          <w:sz w:val="32"/>
          <w:szCs w:val="32"/>
        </w:rPr>
        <w:t>分析，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我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局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原则同意本项目按照《报告表》中所列的性质、规模、地点和拟采取的环保措施进行建设。</w:t>
      </w:r>
    </w:p>
    <w:p w14:paraId="44198F7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三、项目建设及运行期间应做好的工作</w:t>
      </w:r>
    </w:p>
    <w:p w14:paraId="68C45EA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(一)严格落实项目施工期、运营期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对植被、动物资源、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耕地等生态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系统的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保护措施，做好生态环境保护与恢复工作。施工期应严格限定施工区域， 临时占地在施工前，要分层开挖，分层剥离，表土单独堆放，完工分层回填后进行植被恢复；合理规划设计施工便道，塔基施工区等施工区，尽量选择休耕期、非农作物生长期进行施工，加强施工人员培训，注重文明施工管理，对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植被、动物资源、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耕地等生态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系统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进行保护。</w:t>
      </w:r>
    </w:p>
    <w:p w14:paraId="7ED1064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(二)认真落实《报告表》中提出的控制和改善工频电场、 工频磁场对周边环境影响的措施和方法，监测值应符合《电磁环境控制限值》(GB8702-2014)要求。</w:t>
      </w:r>
    </w:p>
    <w:p w14:paraId="38AB0BF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(三)项目施工期及运行期的噪声值及防噪措施应满足《报 告表》中提出的要求，监测值应符合国家评价标准限值要求。</w:t>
      </w:r>
    </w:p>
    <w:p w14:paraId="4F34233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(四)落实施工期大气、水环境保护措施，严格按照《报告表》提出的固体废物污染防治措施处理处置生活垃圾、 临时土石方、建筑垃圾及工程固体废物，减少项目施工和运营对周边大气、水环境的影响。</w:t>
      </w:r>
    </w:p>
    <w:p w14:paraId="2F1407E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(五)环境影响报告表经批准后，项目的性质、规模、地点 或生态保护、污染防治措施发生重大变动的，应当按要求重新报 批。</w:t>
      </w:r>
    </w:p>
    <w:p w14:paraId="41C0B85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四、建设单位按规定程序完成竣工环境保护验收后，项目方 可投入正式运行。</w:t>
      </w:r>
    </w:p>
    <w:p w14:paraId="4E48DC7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五、该项目由巴彦淖尔市生态环境局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乌拉特中旗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分局负责施工期及运营期的监督检查工作，巴彦淖尔市生态环境综合行政执法支队负责督查。</w:t>
      </w:r>
    </w:p>
    <mc:AlternateContent>
      <mc:Choice Requires="wpsCustomData">
        <wpsCustomData:docfieldEnd id="2"/>
      </mc:Choice>
    </mc:AlternateContent>
    <w:p w14:paraId="3D204CF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</w:t>
      </w:r>
      <w:r>
        <w:rPr>
          <w:rFonts w:hint="eastAsia" w:ascii="仿宋_GB2312" w:hAnsi="仿宋" w:eastAsia="仿宋_GB2312"/>
          <w:spacing w:val="-4"/>
          <w:sz w:val="32"/>
          <w:szCs w:val="32"/>
          <w:lang w:val="en-US" w:eastAsia="zh-CN"/>
        </w:rPr>
        <w:t>巴彦淖尔市生态环境局</w:t>
      </w: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 w14:paraId="51669AD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right="55" w:rightChars="26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2" w:name="签发日期"/>
      <w:bookmarkEnd w:id="2"/>
      <mc:AlternateContent>
        <mc:Choice Requires="wpsCustomData">
          <wpsCustomData:docfieldStart id="3" docfieldname="签发日期" hidden="0" print="1" readonly="0" index="5"/>
        </mc:Choice>
      </mc:AlternateContent>
      <w:r>
        <w:rPr>
          <w:rFonts w:hint="default" w:ascii="仿宋_GB2312" w:hAnsi="仿宋" w:eastAsia="仿宋_GB2312"/>
          <w:sz w:val="32"/>
          <w:szCs w:val="32"/>
          <w:lang w:val="en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" w:eastAsia="仿宋_GB2312"/>
          <w:sz w:val="32"/>
          <w:szCs w:val="32"/>
          <w:lang w:val="e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hint="default" w:ascii="仿宋_GB2312" w:hAnsi="仿宋" w:eastAsia="仿宋_GB2312"/>
          <w:sz w:val="32"/>
          <w:szCs w:val="32"/>
          <w:lang w:val="en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23</w:t>
      </w:r>
      <w:r>
        <w:rPr>
          <w:rFonts w:hint="default" w:ascii="仿宋_GB2312" w:hAnsi="仿宋" w:eastAsia="仿宋_GB2312"/>
          <w:sz w:val="32"/>
          <w:szCs w:val="32"/>
          <w:lang w:val="en"/>
        </w:rPr>
        <w:t>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mc:AlternateContent>
        <mc:Choice Requires="wpsCustomData">
          <wpsCustomData:docfieldEnd id="3"/>
        </mc:Choice>
      </mc:AlternateContent>
      <w:bookmarkStart w:id="3" w:name="_GoBack"/>
      <w:bookmarkEnd w:id="3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1701" w:right="1531" w:bottom="1701" w:left="1531" w:header="851" w:footer="158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53C0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7301193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-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203200" tIns="0" rIns="2032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kZHDbNEAAAAFAQAADwAAAAAAAAABACAAAAAi&#10;AAAAZHJzL2Rvd25yZXYueG1sUEsBAhQAFAAAAAgAh07iQN6Et5zYAQAArQMAAA4AAAAAAAAAAQAg&#10;AAAAIAEAAGRycy9lMm9Eb2MueG1sUEsFBgAAAAAGAAYAWQEAAGoFAAAAAA==&#10;">
              <v:fill on="f" focussize="0,0"/>
              <v:stroke on="f" weight="1.25pt"/>
              <v:imagedata o:title=""/>
              <o:lock v:ext="edit" aspectratio="f"/>
              <v:textbox inset="16pt,0mm,16pt,0mm" style="mso-fit-shape-to-text:t;">
                <w:txbxContent>
                  <w:p w14:paraId="17301193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-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CD16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59EEBAAD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-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203200" tIns="0" rIns="2032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RkcNs0QAAAAUBAAAPAAAAAAAAAAEAIAAAACIA&#10;AABkcnMvZG93bnJldi54bWxQSwECFAAUAAAACACHTuJAkHtSBNcBAACtAwAADgAAAAAAAAABACAA&#10;AAAgAQAAZHJzL2Uyb0RvYy54bWxQSwUGAAAAAAYABgBZAQAAaQUAAAAA&#10;">
              <v:fill on="f" focussize="0,0"/>
              <v:stroke on="f" weight="1.25pt"/>
              <v:imagedata o:title=""/>
              <o:lock v:ext="edit" aspectratio="f"/>
              <v:textbox inset="16pt,0mm,16pt,0mm" style="mso-fit-shape-to-text:t;">
                <w:txbxContent>
                  <w:p w14:paraId="59EEBAAD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-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E888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8F964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7749A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ED0DB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894C8E"/>
    <w:rsid w:val="0489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widowControl w:val="0"/>
      <w:spacing w:before="240" w:after="64" w:line="320" w:lineRule="auto"/>
      <w:jc w:val="both"/>
      <w:outlineLvl w:val="5"/>
    </w:pPr>
    <w:rPr>
      <w:rFonts w:ascii="Cambria" w:hAnsi="Cambria" w:eastAsia="宋体" w:cs="Times New Roman"/>
      <w:b/>
      <w:bCs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2026-03-23T08:22:00Z</dcterms:created>
  <dc:creator>宫月琴</dc:creator>
  <cp:lastModifiedBy>宫月琴</cp:lastModifiedBy>
  <dcterms:modified xsi:type="dcterms:W3CDTF">2026-03-23T08:27:32Z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86CAB2FFFF524E36912138715967C8D1_11</vt:lpwstr>
  </property>
  <property fmtid="{D5CDD505-2E9C-101B-9397-08002B2CF9AE}" pid="4" name="KSOTemplateDocerSaveRecord">
    <vt:lpwstr>eyJoZGlkIjoiMTkyMGZmM2QxMjhlOTdjODNiYzBmOTdiM2MzNTgwMTAiLCJ1c2VySWQiOiIzNzY0OTE4MjUifQ==</vt:lpwstr>
  </property>
</Properties>
</file>