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C405D5">
      <w:pPr>
        <w:spacing w:line="560" w:lineRule="exact"/>
        <w:jc w:val="center"/>
        <w:rPr>
          <w:rFonts w:hint="eastAsia" w:ascii="方正小标宋简体" w:hAnsi="宋体" w:eastAsia="方正小标宋简体"/>
          <w:sz w:val="44"/>
          <w:szCs w:val="44"/>
          <w:lang w:val="en"/>
        </w:rPr>
      </w:pPr>
      <w:bookmarkStart w:id="5" w:name="_GoBack"/>
      <w:r>
        <w:rPr>
          <w:rFonts w:hint="eastAsia" w:ascii="方正小标宋简体" w:hAnsi="宋体" w:eastAsia="方正小标宋简体"/>
          <w:sz w:val="44"/>
          <w:szCs w:val="44"/>
          <w:lang w:val="en-US" w:eastAsia="zh-CN"/>
        </w:rPr>
        <w:t>巴彦淖尔市生态环境局</w:t>
      </w:r>
      <w:bookmarkStart w:id="0" w:name="OLE_LINK5"/>
      <w:bookmarkStart w:id="1" w:name="OLE_LINK6"/>
      <w:r>
        <w:rPr>
          <w:rFonts w:hint="eastAsia" w:ascii="方正小标宋简体" w:hAnsi="宋体" w:eastAsia="方正小标宋简体"/>
          <w:sz w:val="44"/>
          <w:szCs w:val="44"/>
          <w:lang w:val="en-US" w:eastAsia="zh-CN"/>
        </w:rPr>
        <w:t>关于</w:t>
      </w:r>
      <w:bookmarkEnd w:id="0"/>
      <w:bookmarkEnd w:id="1"/>
      <w:r>
        <w:rPr>
          <w:rFonts w:hint="eastAsia" w:ascii="方正小标宋简体" w:hAnsi="宋体" w:eastAsia="方正小标宋简体"/>
          <w:sz w:val="44"/>
          <w:szCs w:val="44"/>
          <w:lang w:val="en"/>
        </w:rPr>
        <w:t>巴彦淖尔</w:t>
      </w:r>
    </w:p>
    <w:p w14:paraId="68AAE8D3">
      <w:pPr>
        <w:spacing w:line="560" w:lineRule="exact"/>
        <w:jc w:val="center"/>
        <w:rPr>
          <w:rFonts w:hint="eastAsia" w:ascii="方正小标宋简体" w:hAnsi="宋体" w:eastAsia="方正小标宋简体"/>
          <w:sz w:val="44"/>
          <w:szCs w:val="44"/>
          <w:lang w:val="en"/>
        </w:rPr>
      </w:pPr>
      <w:r>
        <w:rPr>
          <w:rFonts w:hint="eastAsia" w:ascii="方正小标宋简体" w:hAnsi="宋体" w:eastAsia="方正小标宋简体"/>
          <w:sz w:val="44"/>
          <w:szCs w:val="44"/>
          <w:lang w:val="en"/>
        </w:rPr>
        <w:t>乌拉特后旗三贵口110千伏变电站3号主变</w:t>
      </w:r>
    </w:p>
    <w:p w14:paraId="4E7FD9D3">
      <w:pPr>
        <w:spacing w:line="560" w:lineRule="exact"/>
        <w:jc w:val="center"/>
        <w:rPr>
          <w:rFonts w:ascii="方正小标宋简体" w:hAnsi="宋体" w:eastAsia="方正小标宋简体"/>
          <w:sz w:val="44"/>
          <w:szCs w:val="44"/>
          <w:lang w:val="en"/>
        </w:rPr>
      </w:pPr>
      <w:r>
        <w:rPr>
          <w:rFonts w:hint="eastAsia" w:ascii="方正小标宋简体" w:hAnsi="宋体" w:eastAsia="方正小标宋简体"/>
          <w:sz w:val="44"/>
          <w:szCs w:val="44"/>
          <w:lang w:val="en"/>
        </w:rPr>
        <w:t>扩建工程</w:t>
      </w:r>
      <w:r>
        <w:rPr>
          <w:rFonts w:ascii="方正小标宋简体" w:hAnsi="宋体" w:eastAsia="方正小标宋简体"/>
          <w:sz w:val="44"/>
          <w:szCs w:val="44"/>
          <w:lang w:val="en"/>
        </w:rPr>
        <w:t>环境影响报告表的批复</w:t>
      </w:r>
      <w:bookmarkEnd w:id="5"/>
    </w:p>
    <w:p w14:paraId="3B932338">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eastAsia" w:ascii="方正仿宋简体" w:hAnsi="方正仿宋简体" w:eastAsia="方正仿宋简体" w:cs="方正仿宋简体"/>
          <w:sz w:val="32"/>
          <w:szCs w:val="32"/>
          <w:lang w:val="en-US" w:eastAsia="zh-CN"/>
        </w:rPr>
      </w:pPr>
      <mc:AlternateContent>
        <mc:Choice Requires="wpsCustomData">
          <wpsCustomData:docfieldStart id="0" docfieldname="主送单位" hidden="0" print="1" readonly="0" index="3"/>
        </mc:Choice>
      </mc:AlternateContent>
      <w:bookmarkStart w:id="2" w:name="主送单位"/>
      <w:bookmarkEnd w:id="2"/>
    </w:p>
    <w:p w14:paraId="33F615D0">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eastAsia" w:ascii="方正小标宋_GBK" w:hAnsi="方正小标宋_GBK" w:eastAsia="方正小标宋_GBK" w:cs="方正小标宋_GBK"/>
          <w:b w:val="0"/>
          <w:bCs w:val="0"/>
          <w:sz w:val="44"/>
          <w:szCs w:val="44"/>
        </w:rPr>
      </w:pPr>
      <w:r>
        <w:rPr>
          <w:rFonts w:hint="eastAsia" w:ascii="方正仿宋简体" w:hAnsi="方正仿宋简体" w:eastAsia="方正仿宋简体" w:cs="方正仿宋简体"/>
          <w:sz w:val="32"/>
          <w:szCs w:val="32"/>
          <w:lang w:val="en-US" w:eastAsia="zh-CN"/>
        </w:rPr>
        <w:t>巴环辐审</w:t>
      </w:r>
      <w:r>
        <w:rPr>
          <w:rFonts w:hint="eastAsia" w:ascii="方正仿宋简体" w:hAnsi="方正仿宋简体" w:eastAsia="方正仿宋简体" w:cs="方正仿宋简体"/>
          <w:sz w:val="32"/>
          <w:szCs w:val="32"/>
        </w:rPr>
        <w:t>〔20</w:t>
      </w:r>
      <w:r>
        <w:rPr>
          <w:rFonts w:hint="eastAsia" w:ascii="方正仿宋简体" w:hAnsi="方正仿宋简体" w:eastAsia="方正仿宋简体" w:cs="方正仿宋简体"/>
          <w:sz w:val="32"/>
          <w:szCs w:val="32"/>
          <w:lang w:val="en-US" w:eastAsia="zh-CN"/>
        </w:rPr>
        <w:t>25</w:t>
      </w:r>
      <w:r>
        <w:rPr>
          <w:rFonts w:hint="eastAsia" w:ascii="方正仿宋简体" w:hAnsi="方正仿宋简体" w:eastAsia="方正仿宋简体" w:cs="方正仿宋简体"/>
          <w:sz w:val="32"/>
          <w:szCs w:val="32"/>
        </w:rPr>
        <w:t>〕</w:t>
      </w:r>
      <w:r>
        <w:rPr>
          <w:rFonts w:hint="eastAsia" w:ascii="方正仿宋简体" w:hAnsi="方正仿宋简体" w:eastAsia="方正仿宋简体" w:cs="方正仿宋简体"/>
          <w:sz w:val="32"/>
          <w:szCs w:val="32"/>
          <w:lang w:val="en-US" w:eastAsia="zh-CN"/>
        </w:rPr>
        <w:t>5</w:t>
      </w:r>
      <w:r>
        <w:rPr>
          <w:rFonts w:hint="eastAsia" w:ascii="方正仿宋简体" w:hAnsi="方正仿宋简体" w:eastAsia="方正仿宋简体" w:cs="方正仿宋简体"/>
          <w:sz w:val="32"/>
          <w:szCs w:val="32"/>
        </w:rPr>
        <w:t>号</w:t>
      </w:r>
    </w:p>
    <w:p w14:paraId="5F5A4F4C">
      <w:pPr>
        <w:keepNext w:val="0"/>
        <w:keepLines w:val="0"/>
        <w:pageBreakBefore w:val="0"/>
        <w:kinsoku/>
        <w:wordWrap/>
        <w:overflowPunct/>
        <w:topLinePunct w:val="0"/>
        <w:bidi w:val="0"/>
        <w:snapToGrid/>
        <w:spacing w:line="560" w:lineRule="exact"/>
        <w:textAlignment w:val="auto"/>
        <w:rPr>
          <w:rFonts w:hint="default" w:ascii="仿宋_GB2312" w:hAnsi="仿宋" w:eastAsia="仿宋_GB2312"/>
          <w:bCs/>
          <w:sz w:val="32"/>
          <w:szCs w:val="32"/>
          <w:lang w:val="en"/>
        </w:rPr>
      </w:pPr>
    </w:p>
    <w:p w14:paraId="29ED446E">
      <w:pPr>
        <w:keepNext w:val="0"/>
        <w:keepLines w:val="0"/>
        <w:pageBreakBefore w:val="0"/>
        <w:kinsoku/>
        <w:wordWrap/>
        <w:overflowPunct/>
        <w:topLinePunct w:val="0"/>
        <w:bidi w:val="0"/>
        <w:snapToGrid/>
        <w:spacing w:line="560" w:lineRule="exact"/>
        <w:textAlignment w:val="auto"/>
        <w:rPr>
          <w:rFonts w:ascii="仿宋_GB2312" w:hAnsi="仿宋" w:eastAsia="仿宋_GB2312"/>
          <w:bCs/>
          <w:sz w:val="32"/>
          <w:szCs w:val="32"/>
        </w:rPr>
      </w:pPr>
      <w:r>
        <w:rPr>
          <w:rFonts w:hint="default" w:ascii="仿宋_GB2312" w:hAnsi="仿宋" w:eastAsia="仿宋_GB2312"/>
          <w:bCs/>
          <w:sz w:val="32"/>
          <w:szCs w:val="32"/>
          <w:lang w:val="en"/>
        </w:rPr>
        <w:t>内蒙古电力（集团）有限责任公司巴彦淖尔供电分公司</w:t>
      </w:r>
      <mc:AlternateContent>
        <mc:Choice Requires="wpsCustomData">
          <wpsCustomData:docfieldEnd id="0"/>
        </mc:Choice>
      </mc:AlternateContent>
      <w:r>
        <w:rPr>
          <w:rFonts w:hint="eastAsia" w:ascii="仿宋_GB2312" w:hAnsi="仿宋" w:eastAsia="仿宋_GB2312"/>
          <w:bCs/>
          <w:sz w:val="32"/>
          <w:szCs w:val="32"/>
        </w:rPr>
        <w:t>：</w:t>
      </w:r>
    </w:p>
    <w:p w14:paraId="4BA34F57">
      <w:pPr>
        <w:keepNext w:val="0"/>
        <w:keepLines w:val="0"/>
        <w:pageBreakBefore w:val="0"/>
        <w:widowControl/>
        <w:kinsoku/>
        <w:wordWrap/>
        <w:overflowPunct/>
        <w:topLinePunct w:val="0"/>
        <w:bidi w:val="0"/>
        <w:snapToGrid/>
        <w:spacing w:line="560" w:lineRule="exact"/>
        <w:ind w:firstLine="640" w:firstLineChars="200"/>
        <w:jc w:val="left"/>
        <w:textAlignment w:val="auto"/>
        <w:rPr>
          <w:rFonts w:ascii="仿宋_GB2312" w:hAnsi="仿宋" w:eastAsia="仿宋_GB2312"/>
          <w:color w:val="000000"/>
          <w:sz w:val="32"/>
          <w:szCs w:val="32"/>
        </w:rPr>
      </w:pPr>
      <mc:AlternateContent>
        <mc:Choice Requires="wpsCustomData">
          <wpsCustomData:docfieldStart id="1" docfieldname="正文文件" hidden="0" print="1" readonly="0" index="4"/>
        </mc:Choice>
      </mc:AlternateContent>
      <w:bookmarkStart w:id="3" w:name="正文文件"/>
      <w:bookmarkEnd w:id="3"/>
      <w:r>
        <w:rPr>
          <w:rFonts w:hint="eastAsia" w:ascii="仿宋_GB2312" w:hAnsi="仿宋" w:eastAsia="仿宋_GB2312"/>
          <w:color w:val="000000"/>
          <w:sz w:val="32"/>
          <w:szCs w:val="32"/>
        </w:rPr>
        <w:t>你公司报送的《</w:t>
      </w:r>
      <w:r>
        <w:rPr>
          <w:rFonts w:hint="eastAsia" w:ascii="仿宋_GB2312" w:eastAsia="仿宋_GB2312"/>
          <w:color w:val="000000"/>
          <w:sz w:val="32"/>
          <w:szCs w:val="32"/>
        </w:rPr>
        <w:t>巴彦淖尔乌拉特后旗三贵口110千伏变电站3号主变扩建工程环境影响报告表</w:t>
      </w:r>
      <w:r>
        <w:rPr>
          <w:rFonts w:hint="eastAsia" w:ascii="仿宋_GB2312" w:hAnsi="仿宋" w:eastAsia="仿宋_GB2312"/>
          <w:color w:val="000000"/>
          <w:sz w:val="32"/>
          <w:szCs w:val="32"/>
        </w:rPr>
        <w:t>》（以下简称《报告表》）收悉。经研究，批复如下：</w:t>
      </w:r>
    </w:p>
    <w:p w14:paraId="4A228997">
      <w:pPr>
        <w:pStyle w:val="5"/>
        <w:keepNext w:val="0"/>
        <w:keepLines w:val="0"/>
        <w:pageBreakBefore w:val="0"/>
        <w:kinsoku/>
        <w:wordWrap/>
        <w:overflowPunct/>
        <w:topLinePunct w:val="0"/>
        <w:bidi w:val="0"/>
        <w:snapToGrid/>
        <w:spacing w:line="560" w:lineRule="exact"/>
        <w:ind w:firstLine="640" w:firstLineChars="200"/>
        <w:jc w:val="both"/>
        <w:textAlignment w:val="auto"/>
        <w:rPr>
          <w:rFonts w:ascii="仿宋_GB2312" w:hAnsi="仿宋" w:eastAsia="仿宋_GB2312" w:cs="Times New Roman"/>
          <w:sz w:val="32"/>
          <w:szCs w:val="32"/>
        </w:rPr>
      </w:pPr>
      <w:r>
        <w:rPr>
          <w:rFonts w:hint="eastAsia" w:ascii="黑体" w:hAnsi="黑体" w:eastAsia="黑体" w:cs="黑体"/>
          <w:sz w:val="32"/>
          <w:szCs w:val="32"/>
        </w:rPr>
        <w:t>一、项目建设基本情况</w:t>
      </w:r>
    </w:p>
    <w:p w14:paraId="18B3183B">
      <w:pPr>
        <w:pStyle w:val="6"/>
        <w:keepNext w:val="0"/>
        <w:keepLines w:val="0"/>
        <w:pageBreakBefore w:val="0"/>
        <w:kinsoku/>
        <w:wordWrap/>
        <w:overflowPunct/>
        <w:topLinePunct w:val="0"/>
        <w:bidi w:val="0"/>
        <w:snapToGrid/>
        <w:spacing w:line="560" w:lineRule="exact"/>
        <w:ind w:firstLine="640"/>
        <w:textAlignment w:val="auto"/>
        <w:rPr>
          <w:rFonts w:hint="eastAsia" w:ascii="仿宋_GB2312" w:eastAsia="仿宋_GB2312"/>
          <w:color w:val="000000"/>
          <w:kern w:val="0"/>
          <w:sz w:val="32"/>
          <w:szCs w:val="32"/>
        </w:rPr>
      </w:pPr>
      <w:r>
        <w:rPr>
          <w:rFonts w:hint="eastAsia" w:ascii="仿宋_GB2312" w:eastAsia="仿宋_GB2312"/>
          <w:color w:val="000000"/>
          <w:kern w:val="0"/>
          <w:sz w:val="32"/>
          <w:szCs w:val="32"/>
        </w:rPr>
        <w:t>本</w:t>
      </w:r>
      <w:r>
        <w:rPr>
          <w:rFonts w:hint="eastAsia" w:ascii="仿宋_GB2312" w:eastAsia="仿宋_GB2312"/>
          <w:color w:val="000000"/>
          <w:kern w:val="0"/>
          <w:sz w:val="32"/>
          <w:szCs w:val="32"/>
          <w:lang w:val="en-US" w:eastAsia="zh-CN"/>
        </w:rPr>
        <w:t>项目</w:t>
      </w:r>
      <w:r>
        <w:rPr>
          <w:rFonts w:hint="eastAsia" w:ascii="仿宋_GB2312" w:eastAsia="仿宋_GB2312"/>
          <w:color w:val="000000"/>
          <w:kern w:val="0"/>
          <w:sz w:val="32"/>
          <w:szCs w:val="32"/>
        </w:rPr>
        <w:t>扩建规模及内容：3号主变扩建1台63兆伏安主变，新增1回110千伏线路间隔，新增12回10千伏出线间隔。</w:t>
      </w:r>
    </w:p>
    <w:p w14:paraId="2085D4A4">
      <w:pPr>
        <w:pStyle w:val="6"/>
        <w:keepNext w:val="0"/>
        <w:keepLines w:val="0"/>
        <w:pageBreakBefore w:val="0"/>
        <w:kinsoku/>
        <w:wordWrap/>
        <w:overflowPunct/>
        <w:topLinePunct w:val="0"/>
        <w:bidi w:val="0"/>
        <w:snapToGrid/>
        <w:spacing w:line="560" w:lineRule="exact"/>
        <w:ind w:firstLine="640"/>
        <w:textAlignment w:val="auto"/>
        <w:rPr>
          <w:rFonts w:hint="eastAsia" w:ascii="仿宋_GB2312" w:eastAsia="仿宋_GB2312"/>
          <w:color w:val="000000"/>
          <w:kern w:val="0"/>
          <w:sz w:val="32"/>
          <w:szCs w:val="32"/>
        </w:rPr>
      </w:pPr>
      <w:r>
        <w:rPr>
          <w:rFonts w:hint="eastAsia" w:ascii="仿宋_GB2312" w:eastAsia="仿宋_GB2312"/>
          <w:color w:val="000000"/>
          <w:kern w:val="0"/>
          <w:sz w:val="32"/>
          <w:szCs w:val="32"/>
          <w:lang w:val="en-US" w:eastAsia="zh-CN"/>
        </w:rPr>
        <w:t>原有项目乌拉特后旗</w:t>
      </w:r>
      <w:r>
        <w:rPr>
          <w:rFonts w:hint="eastAsia" w:ascii="仿宋_GB2312" w:eastAsia="仿宋_GB2312"/>
          <w:color w:val="000000"/>
          <w:kern w:val="0"/>
          <w:sz w:val="32"/>
          <w:szCs w:val="32"/>
        </w:rPr>
        <w:t>三贵口110kV变电站于2011年</w:t>
      </w:r>
      <w:r>
        <w:rPr>
          <w:rFonts w:hint="eastAsia" w:ascii="仿宋_GB2312" w:eastAsia="仿宋_GB2312"/>
          <w:color w:val="000000"/>
          <w:kern w:val="0"/>
          <w:sz w:val="32"/>
          <w:szCs w:val="32"/>
          <w:lang w:val="en-US" w:eastAsia="zh-CN"/>
        </w:rPr>
        <w:t>投运</w:t>
      </w:r>
      <w:r>
        <w:rPr>
          <w:rFonts w:hint="eastAsia" w:ascii="仿宋_GB2312" w:eastAsia="仿宋_GB2312"/>
          <w:color w:val="000000"/>
          <w:kern w:val="0"/>
          <w:sz w:val="32"/>
          <w:szCs w:val="32"/>
        </w:rPr>
        <w:t>，为有人值班无人值守站，主变2台，容量126(63+63)MVA,由布拉格220千伏变电站布贵线和陕坝110千伏变电站陕贵线供电，导线型号分别为LGJ-240和LGJ-120,极限容量116.2MVA、72.4MVA。目前，35千伏建设出线10回(备用3回),10千伏建设出线18回，110千伏、35千伏、10千伏均为单母接分段线方式。</w:t>
      </w:r>
    </w:p>
    <w:p w14:paraId="2E7B951E">
      <w:pPr>
        <w:pStyle w:val="6"/>
        <w:keepNext w:val="0"/>
        <w:keepLines w:val="0"/>
        <w:pageBreakBefore w:val="0"/>
        <w:kinsoku/>
        <w:wordWrap/>
        <w:overflowPunct/>
        <w:topLinePunct w:val="0"/>
        <w:bidi w:val="0"/>
        <w:snapToGrid/>
        <w:spacing w:line="560" w:lineRule="exact"/>
        <w:ind w:firstLine="640"/>
        <w:textAlignment w:val="auto"/>
        <w:rPr>
          <w:rFonts w:hint="eastAsia" w:ascii="仿宋_GB2312" w:eastAsia="仿宋_GB2312"/>
          <w:sz w:val="32"/>
          <w:szCs w:val="32"/>
        </w:rPr>
      </w:pPr>
      <w:r>
        <w:rPr>
          <w:rFonts w:hint="eastAsia" w:ascii="仿宋_GB2312" w:hAnsi="仿宋_GB2312" w:eastAsia="仿宋_GB2312"/>
          <w:bCs/>
          <w:sz w:val="32"/>
          <w:szCs w:val="32"/>
        </w:rPr>
        <w:t>本项目建设地点位于</w:t>
      </w:r>
      <w:r>
        <w:rPr>
          <w:rFonts w:hint="eastAsia" w:ascii="仿宋_GB2312" w:eastAsia="仿宋_GB2312"/>
          <w:sz w:val="32"/>
          <w:szCs w:val="32"/>
        </w:rPr>
        <w:t>内蒙古自治区</w:t>
      </w:r>
      <w:r>
        <w:rPr>
          <w:rFonts w:hint="eastAsia" w:ascii="仿宋_GB2312" w:eastAsia="仿宋_GB2312"/>
          <w:sz w:val="32"/>
          <w:szCs w:val="32"/>
          <w:lang w:val="en-US" w:eastAsia="zh-CN"/>
        </w:rPr>
        <w:t>巴彦淖尔</w:t>
      </w:r>
      <w:r>
        <w:rPr>
          <w:rFonts w:hint="eastAsia" w:ascii="仿宋_GB2312" w:eastAsia="仿宋_GB2312"/>
          <w:sz w:val="32"/>
          <w:szCs w:val="32"/>
        </w:rPr>
        <w:t>市</w:t>
      </w:r>
      <w:r>
        <w:rPr>
          <w:rFonts w:hint="eastAsia" w:ascii="仿宋_GB2312" w:eastAsia="仿宋_GB2312"/>
          <w:sz w:val="32"/>
          <w:szCs w:val="32"/>
          <w:lang w:val="en-US" w:eastAsia="zh-CN"/>
        </w:rPr>
        <w:t>乌拉特后旗</w:t>
      </w:r>
      <w:r>
        <w:rPr>
          <w:rFonts w:hint="eastAsia" w:ascii="仿宋_GB2312" w:eastAsia="仿宋_GB2312"/>
          <w:sz w:val="32"/>
          <w:szCs w:val="32"/>
        </w:rPr>
        <w:t>。</w:t>
      </w:r>
    </w:p>
    <w:p w14:paraId="02CDF9CE">
      <w:pPr>
        <w:keepNext w:val="0"/>
        <w:keepLines w:val="0"/>
        <w:pageBreakBefore w:val="0"/>
        <w:kinsoku/>
        <w:wordWrap/>
        <w:overflowPunct/>
        <w:topLinePunct w:val="0"/>
        <w:bidi w:val="0"/>
        <w:snapToGrid/>
        <w:spacing w:line="560" w:lineRule="exact"/>
        <w:ind w:firstLine="640" w:firstLineChars="200"/>
        <w:textAlignment w:val="auto"/>
        <w:rPr>
          <w:rFonts w:ascii="仿宋_GB2312" w:eastAsia="仿宋_GB2312"/>
          <w:color w:val="000000"/>
          <w:sz w:val="32"/>
          <w:szCs w:val="32"/>
        </w:rPr>
      </w:pPr>
      <w:r>
        <w:rPr>
          <w:rFonts w:hint="eastAsia" w:ascii="黑体" w:hAnsi="黑体" w:eastAsia="黑体" w:cs="黑体"/>
          <w:color w:val="000000"/>
          <w:sz w:val="32"/>
          <w:szCs w:val="32"/>
        </w:rPr>
        <w:t>二、总体意见</w:t>
      </w:r>
    </w:p>
    <w:p w14:paraId="23FEB9FE">
      <w:pPr>
        <w:keepNext w:val="0"/>
        <w:keepLines w:val="0"/>
        <w:pageBreakBefore w:val="0"/>
        <w:kinsoku/>
        <w:wordWrap/>
        <w:overflowPunct/>
        <w:topLinePunct w:val="0"/>
        <w:autoSpaceDE w:val="0"/>
        <w:autoSpaceDN w:val="0"/>
        <w:bidi w:val="0"/>
        <w:adjustRightInd w:val="0"/>
        <w:snapToGrid/>
        <w:spacing w:line="560" w:lineRule="exact"/>
        <w:ind w:firstLine="640" w:firstLineChars="200"/>
        <w:textAlignment w:val="auto"/>
        <w:rPr>
          <w:rFonts w:ascii="仿宋_GB2312" w:hAnsi="仿宋" w:eastAsia="仿宋_GB2312"/>
          <w:color w:val="000000"/>
          <w:sz w:val="32"/>
          <w:szCs w:val="32"/>
        </w:rPr>
      </w:pPr>
      <w:r>
        <w:rPr>
          <w:rFonts w:hint="eastAsia" w:ascii="仿宋_GB2312" w:eastAsia="仿宋_GB2312"/>
          <w:color w:val="000000"/>
          <w:sz w:val="32"/>
          <w:szCs w:val="32"/>
        </w:rPr>
        <w:t>本项目在严格落实《报告表》提出的各项环境保护措</w:t>
      </w:r>
      <w:r>
        <w:rPr>
          <w:rFonts w:hint="eastAsia" w:ascii="仿宋_GB2312" w:hAnsi="仿宋" w:eastAsia="仿宋_GB2312"/>
          <w:color w:val="000000"/>
          <w:sz w:val="32"/>
          <w:szCs w:val="32"/>
        </w:rPr>
        <w:t>施和下列工作要求后，可以满足国家生态环境保护相关法律法规和标准的要求。从环境保护角度</w:t>
      </w:r>
      <w:r>
        <w:rPr>
          <w:rFonts w:hint="eastAsia" w:ascii="仿宋_GB2312" w:eastAsia="仿宋_GB2312"/>
          <w:color w:val="000000"/>
          <w:sz w:val="32"/>
          <w:szCs w:val="32"/>
        </w:rPr>
        <w:t>分析，</w:t>
      </w:r>
      <w:r>
        <w:rPr>
          <w:rFonts w:hint="eastAsia" w:ascii="仿宋_GB2312" w:hAnsi="仿宋" w:eastAsia="仿宋_GB2312"/>
          <w:color w:val="000000"/>
          <w:sz w:val="32"/>
          <w:szCs w:val="32"/>
        </w:rPr>
        <w:t>我</w:t>
      </w:r>
      <w:r>
        <w:rPr>
          <w:rFonts w:hint="eastAsia" w:ascii="仿宋_GB2312" w:hAnsi="仿宋" w:eastAsia="仿宋_GB2312"/>
          <w:color w:val="000000"/>
          <w:sz w:val="32"/>
          <w:szCs w:val="32"/>
          <w:lang w:val="en-US" w:eastAsia="zh-CN"/>
        </w:rPr>
        <w:t>局</w:t>
      </w:r>
      <w:r>
        <w:rPr>
          <w:rFonts w:hint="eastAsia" w:ascii="仿宋_GB2312" w:hAnsi="仿宋" w:eastAsia="仿宋_GB2312"/>
          <w:color w:val="000000"/>
          <w:sz w:val="32"/>
          <w:szCs w:val="32"/>
        </w:rPr>
        <w:t>原则同意本项目按照《报告表》中所列的性质、规模、地点和拟采取的环保措施进行建设。</w:t>
      </w:r>
    </w:p>
    <w:p w14:paraId="44198F79">
      <w:pPr>
        <w:keepNext w:val="0"/>
        <w:keepLines w:val="0"/>
        <w:pageBreakBefore w:val="0"/>
        <w:kinsoku/>
        <w:wordWrap/>
        <w:overflowPunct/>
        <w:topLinePunct w:val="0"/>
        <w:bidi w:val="0"/>
        <w:snapToGrid/>
        <w:spacing w:line="560" w:lineRule="exact"/>
        <w:ind w:firstLine="640" w:firstLineChars="200"/>
        <w:textAlignment w:val="auto"/>
        <w:rPr>
          <w:rFonts w:ascii="仿宋_GB2312" w:hAnsi="仿宋" w:eastAsia="仿宋_GB2312"/>
          <w:color w:val="000000"/>
          <w:sz w:val="32"/>
          <w:szCs w:val="32"/>
        </w:rPr>
      </w:pPr>
      <w:r>
        <w:rPr>
          <w:rFonts w:hint="eastAsia" w:ascii="黑体" w:hAnsi="黑体" w:eastAsia="黑体" w:cs="黑体"/>
          <w:color w:val="000000"/>
          <w:sz w:val="32"/>
          <w:szCs w:val="32"/>
        </w:rPr>
        <w:t>三、项目建设及运行期间应做好的工作</w:t>
      </w:r>
    </w:p>
    <w:p w14:paraId="0953B1C5">
      <w:pPr>
        <w:keepNext w:val="0"/>
        <w:keepLines w:val="0"/>
        <w:pageBreakBefore w:val="0"/>
        <w:kinsoku/>
        <w:wordWrap/>
        <w:overflowPunct/>
        <w:topLinePunct w:val="0"/>
        <w:bidi w:val="0"/>
        <w:snapToGrid/>
        <w:spacing w:line="560" w:lineRule="exact"/>
        <w:ind w:firstLine="640" w:firstLineChars="200"/>
        <w:textAlignment w:val="auto"/>
        <w:rPr>
          <w:rFonts w:hint="eastAsia" w:ascii="仿宋_GB2312" w:hAnsi="仿宋" w:eastAsia="仿宋_GB2312"/>
          <w:color w:val="000000"/>
          <w:sz w:val="32"/>
          <w:szCs w:val="32"/>
        </w:rPr>
      </w:pPr>
      <w:r>
        <w:rPr>
          <w:rFonts w:hint="eastAsia" w:ascii="仿宋_GB2312" w:hAnsi="仿宋" w:eastAsia="仿宋_GB2312"/>
          <w:color w:val="000000"/>
          <w:sz w:val="32"/>
          <w:szCs w:val="32"/>
        </w:rPr>
        <w:t>（一）严格落实项目施工期、运营期生态环境保护措施，做好生态</w:t>
      </w:r>
      <w:r>
        <w:rPr>
          <w:rFonts w:hint="eastAsia" w:ascii="仿宋_GB2312" w:hAnsi="仿宋" w:eastAsia="仿宋_GB2312"/>
          <w:color w:val="000000"/>
          <w:sz w:val="32"/>
          <w:szCs w:val="32"/>
          <w:lang w:val="en-US" w:eastAsia="zh-CN"/>
        </w:rPr>
        <w:t>环境</w:t>
      </w:r>
      <w:r>
        <w:rPr>
          <w:rFonts w:hint="eastAsia" w:ascii="仿宋_GB2312" w:hAnsi="仿宋" w:eastAsia="仿宋_GB2312"/>
          <w:color w:val="000000"/>
          <w:sz w:val="32"/>
          <w:szCs w:val="32"/>
        </w:rPr>
        <w:t>保护与恢复工作。施工期</w:t>
      </w:r>
      <w:r>
        <w:rPr>
          <w:rFonts w:hint="eastAsia" w:ascii="仿宋_GB2312" w:hAnsi="仿宋" w:eastAsia="仿宋_GB2312"/>
          <w:color w:val="000000"/>
          <w:sz w:val="32"/>
          <w:szCs w:val="32"/>
          <w:lang w:val="en-US" w:eastAsia="zh-CN"/>
        </w:rPr>
        <w:t>应加强施工人员培训，注重文明施工管理，</w:t>
      </w:r>
      <w:r>
        <w:rPr>
          <w:rFonts w:hint="eastAsia" w:ascii="仿宋_GB2312" w:hAnsi="仿宋" w:eastAsia="仿宋_GB2312"/>
          <w:color w:val="000000"/>
          <w:sz w:val="32"/>
          <w:szCs w:val="32"/>
        </w:rPr>
        <w:t>严格控制施工活动范围，合理布局，尽量减少土地占用和植被破坏。</w:t>
      </w:r>
    </w:p>
    <w:p w14:paraId="11416128">
      <w:pPr>
        <w:keepNext w:val="0"/>
        <w:keepLines w:val="0"/>
        <w:pageBreakBefore w:val="0"/>
        <w:kinsoku/>
        <w:wordWrap/>
        <w:overflowPunct/>
        <w:topLinePunct w:val="0"/>
        <w:bidi w:val="0"/>
        <w:snapToGrid/>
        <w:spacing w:line="560" w:lineRule="exact"/>
        <w:ind w:firstLine="640" w:firstLineChars="200"/>
        <w:textAlignment w:val="auto"/>
        <w:rPr>
          <w:rFonts w:hint="eastAsia" w:ascii="仿宋_GB2312" w:hAnsi="仿宋" w:eastAsia="仿宋_GB2312"/>
          <w:color w:val="000000"/>
          <w:sz w:val="32"/>
          <w:szCs w:val="32"/>
        </w:rPr>
      </w:pPr>
      <w:r>
        <w:rPr>
          <w:rFonts w:hint="eastAsia" w:ascii="仿宋_GB2312" w:hAnsi="仿宋" w:eastAsia="仿宋_GB2312"/>
          <w:color w:val="000000"/>
          <w:sz w:val="32"/>
          <w:szCs w:val="32"/>
        </w:rPr>
        <w:t>（二）认真落实《报告表》中提出的控制和改善工频电场、工频磁场对周边环境影响的措施和方法，监测值应符合《电磁环境控制限值》（GB8702-2014）要求。</w:t>
      </w:r>
    </w:p>
    <w:p w14:paraId="58566E5C">
      <w:pPr>
        <w:pStyle w:val="6"/>
        <w:keepNext w:val="0"/>
        <w:keepLines w:val="0"/>
        <w:pageBreakBefore w:val="0"/>
        <w:kinsoku/>
        <w:wordWrap/>
        <w:overflowPunct/>
        <w:topLinePunct w:val="0"/>
        <w:bidi w:val="0"/>
        <w:snapToGrid/>
        <w:spacing w:line="560" w:lineRule="exact"/>
        <w:ind w:firstLine="640"/>
        <w:textAlignment w:val="auto"/>
        <w:rPr>
          <w:rFonts w:hint="eastAsia" w:ascii="仿宋_GB2312" w:hAnsi="仿宋" w:eastAsia="仿宋_GB2312"/>
          <w:sz w:val="32"/>
          <w:szCs w:val="32"/>
        </w:rPr>
      </w:pPr>
      <w:r>
        <w:rPr>
          <w:rFonts w:hint="eastAsia" w:ascii="仿宋_GB2312" w:hAnsi="仿宋" w:eastAsia="仿宋_GB2312"/>
          <w:sz w:val="32"/>
          <w:szCs w:val="32"/>
        </w:rPr>
        <w:t>（</w:t>
      </w:r>
      <w:r>
        <w:rPr>
          <w:rFonts w:hint="eastAsia" w:ascii="仿宋_GB2312" w:hAnsi="仿宋" w:eastAsia="仿宋_GB2312"/>
          <w:sz w:val="32"/>
          <w:szCs w:val="32"/>
          <w:lang w:val="en-US"/>
        </w:rPr>
        <w:t>三</w:t>
      </w:r>
      <w:r>
        <w:rPr>
          <w:rFonts w:hint="eastAsia" w:ascii="仿宋_GB2312" w:hAnsi="仿宋" w:eastAsia="仿宋_GB2312"/>
          <w:sz w:val="32"/>
          <w:szCs w:val="32"/>
        </w:rPr>
        <w:t>）项目施工期及运行期的噪声值及防噪措施应满足《报告表》中提出的要求，监测值应符合国家评价标准限值要求。</w:t>
      </w:r>
    </w:p>
    <w:p w14:paraId="338CDFA6">
      <w:pPr>
        <w:pStyle w:val="6"/>
        <w:spacing w:line="560" w:lineRule="exact"/>
        <w:ind w:firstLine="640"/>
        <w:rPr>
          <w:rFonts w:ascii="仿宋_GB2312" w:eastAsia="仿宋_GB2312"/>
          <w:color w:val="auto"/>
          <w:sz w:val="32"/>
          <w:szCs w:val="32"/>
          <w:highlight w:val="none"/>
        </w:rPr>
      </w:pPr>
      <w:r>
        <w:rPr>
          <w:rFonts w:hint="eastAsia" w:ascii="仿宋_GB2312" w:hAnsi="仿宋" w:eastAsia="仿宋_GB2312"/>
          <w:color w:val="auto"/>
          <w:sz w:val="32"/>
          <w:szCs w:val="32"/>
          <w:highlight w:val="none"/>
        </w:rPr>
        <w:t>（</w:t>
      </w:r>
      <w:r>
        <w:rPr>
          <w:rFonts w:hint="eastAsia" w:ascii="仿宋_GB2312" w:hAnsi="仿宋" w:eastAsia="仿宋_GB2312"/>
          <w:color w:val="auto"/>
          <w:sz w:val="32"/>
          <w:szCs w:val="32"/>
          <w:highlight w:val="none"/>
          <w:lang w:val="en-US" w:eastAsia="zh-CN"/>
        </w:rPr>
        <w:t>四</w:t>
      </w:r>
      <w:r>
        <w:rPr>
          <w:rFonts w:hint="eastAsia" w:ascii="仿宋_GB2312" w:hAnsi="仿宋" w:eastAsia="仿宋_GB2312"/>
          <w:color w:val="auto"/>
          <w:sz w:val="32"/>
          <w:szCs w:val="32"/>
          <w:highlight w:val="none"/>
        </w:rPr>
        <w:t>）</w:t>
      </w:r>
      <w:r>
        <w:rPr>
          <w:rFonts w:hint="eastAsia" w:ascii="仿宋_GB2312" w:hAnsi="仿宋" w:eastAsia="仿宋_GB2312"/>
          <w:color w:val="auto"/>
          <w:sz w:val="32"/>
          <w:szCs w:val="32"/>
          <w:highlight w:val="none"/>
          <w:lang w:eastAsia="zh-CN"/>
        </w:rPr>
        <w:t>运营期变电站生活污水</w:t>
      </w:r>
      <w:r>
        <w:rPr>
          <w:rFonts w:hint="eastAsia" w:ascii="仿宋_GB2312" w:hAnsi="仿宋" w:eastAsia="仿宋_GB2312"/>
          <w:color w:val="auto"/>
          <w:sz w:val="32"/>
          <w:szCs w:val="32"/>
          <w:highlight w:val="none"/>
          <w:lang w:val="en-US" w:eastAsia="zh-CN"/>
        </w:rPr>
        <w:t>排入站内</w:t>
      </w:r>
      <w:r>
        <w:rPr>
          <w:rFonts w:hint="eastAsia" w:ascii="仿宋_GB2312" w:hAnsi="仿宋" w:eastAsia="仿宋_GB2312"/>
          <w:color w:val="auto"/>
          <w:sz w:val="32"/>
          <w:szCs w:val="32"/>
          <w:highlight w:val="none"/>
          <w:lang w:eastAsia="zh-CN"/>
        </w:rPr>
        <w:t>化粪池，</w:t>
      </w:r>
      <w:r>
        <w:rPr>
          <w:rFonts w:hint="eastAsia" w:ascii="仿宋_GB2312" w:hAnsi="仿宋" w:eastAsia="仿宋_GB2312"/>
          <w:color w:val="auto"/>
          <w:sz w:val="32"/>
          <w:szCs w:val="32"/>
          <w:highlight w:val="none"/>
          <w:lang w:val="en-US" w:eastAsia="zh-CN"/>
        </w:rPr>
        <w:t>定期清掏拉运至乌拉特后旗污水处理厂集中处理</w:t>
      </w:r>
      <w:r>
        <w:rPr>
          <w:rFonts w:hint="eastAsia" w:ascii="仿宋_GB2312" w:hAnsi="仿宋" w:eastAsia="仿宋_GB2312"/>
          <w:color w:val="auto"/>
          <w:sz w:val="32"/>
          <w:szCs w:val="32"/>
          <w:highlight w:val="none"/>
          <w:lang w:eastAsia="zh-CN"/>
        </w:rPr>
        <w:t>；电气设备检修产生的废润滑油更换时直接交由有危险废物处置资质的单位回收处置，不在厂区内暂存；废铅酸蓄电池更换时直接交由有危险废物处置资质的单位回收处置，不在厂区内暂存。</w:t>
      </w:r>
    </w:p>
    <w:p w14:paraId="6C3BD3AD">
      <w:pPr>
        <w:keepNext w:val="0"/>
        <w:keepLines w:val="0"/>
        <w:pageBreakBefore w:val="0"/>
        <w:kinsoku/>
        <w:wordWrap/>
        <w:overflowPunct/>
        <w:topLinePunct w:val="0"/>
        <w:bidi w:val="0"/>
        <w:snapToGrid/>
        <w:spacing w:line="560" w:lineRule="exact"/>
        <w:ind w:firstLine="640" w:firstLineChars="200"/>
        <w:textAlignment w:val="auto"/>
        <w:rPr>
          <w:rFonts w:ascii="仿宋_GB2312" w:hAnsi="仿宋" w:eastAsia="仿宋_GB2312"/>
          <w:color w:val="000000"/>
          <w:sz w:val="32"/>
          <w:szCs w:val="32"/>
        </w:rPr>
      </w:pPr>
      <w:r>
        <w:rPr>
          <w:rFonts w:hint="eastAsia" w:ascii="仿宋_GB2312" w:hAnsi="仿宋" w:eastAsia="仿宋_GB2312"/>
          <w:color w:val="000000"/>
          <w:sz w:val="32"/>
          <w:szCs w:val="32"/>
        </w:rPr>
        <w:t>（</w:t>
      </w:r>
      <w:r>
        <w:rPr>
          <w:rFonts w:hint="eastAsia" w:ascii="仿宋_GB2312" w:hAnsi="仿宋" w:eastAsia="仿宋_GB2312"/>
          <w:color w:val="000000"/>
          <w:sz w:val="32"/>
          <w:szCs w:val="32"/>
          <w:lang w:val="en-US" w:eastAsia="zh-CN"/>
        </w:rPr>
        <w:t>五</w:t>
      </w:r>
      <w:r>
        <w:rPr>
          <w:rFonts w:hint="eastAsia" w:ascii="仿宋_GB2312" w:hAnsi="仿宋" w:eastAsia="仿宋_GB2312"/>
          <w:color w:val="000000"/>
          <w:sz w:val="32"/>
          <w:szCs w:val="32"/>
        </w:rPr>
        <w:t>）环境影响报告表经批准后，项目的性质、规模、地点或生态保护、污染防治措施发生重大变动的，应当按要求重新报批。</w:t>
      </w:r>
    </w:p>
    <w:p w14:paraId="2E408C1D">
      <w:pPr>
        <w:keepNext w:val="0"/>
        <w:keepLines w:val="0"/>
        <w:pageBreakBefore w:val="0"/>
        <w:kinsoku/>
        <w:wordWrap/>
        <w:overflowPunct/>
        <w:topLinePunct w:val="0"/>
        <w:bidi w:val="0"/>
        <w:snapToGrid/>
        <w:spacing w:line="560" w:lineRule="exact"/>
        <w:ind w:firstLine="640" w:firstLineChars="200"/>
        <w:textAlignment w:val="auto"/>
        <w:rPr>
          <w:rFonts w:ascii="仿宋_GB2312" w:hAnsi="仿宋" w:eastAsia="仿宋_GB2312"/>
          <w:color w:val="000000"/>
          <w:sz w:val="32"/>
          <w:szCs w:val="32"/>
        </w:rPr>
      </w:pPr>
      <w:r>
        <w:rPr>
          <w:rFonts w:hint="eastAsia" w:ascii="仿宋_GB2312" w:hAnsi="仿宋" w:eastAsia="仿宋_GB2312"/>
          <w:color w:val="000000"/>
          <w:sz w:val="32"/>
          <w:szCs w:val="32"/>
        </w:rPr>
        <w:t>四、建设单位按规定程序完成竣工环境保护验收后，项目方可投入正式运行。</w:t>
      </w:r>
    </w:p>
    <w:p w14:paraId="0E8AAC28">
      <w:pPr>
        <w:keepNext w:val="0"/>
        <w:keepLines w:val="0"/>
        <w:pageBreakBefore w:val="0"/>
        <w:kinsoku/>
        <w:wordWrap/>
        <w:overflowPunct/>
        <w:topLinePunct w:val="0"/>
        <w:bidi w:val="0"/>
        <w:snapToGrid/>
        <w:spacing w:line="560" w:lineRule="exact"/>
        <w:ind w:firstLine="640" w:firstLineChars="200"/>
        <w:textAlignment w:val="auto"/>
        <w:rPr>
          <w:rFonts w:hint="eastAsia" w:ascii="仿宋_GB2312" w:hAnsi="仿宋" w:eastAsia="仿宋_GB2312"/>
          <w:color w:val="000000"/>
          <w:sz w:val="32"/>
          <w:szCs w:val="32"/>
        </w:rPr>
      </w:pPr>
      <w:r>
        <w:rPr>
          <w:rFonts w:hint="eastAsia" w:ascii="仿宋_GB2312" w:hAnsi="仿宋" w:eastAsia="仿宋_GB2312"/>
          <w:color w:val="000000"/>
          <w:sz w:val="32"/>
          <w:szCs w:val="32"/>
        </w:rPr>
        <w:t>五、</w:t>
      </w:r>
      <w:r>
        <w:rPr>
          <w:rFonts w:hint="eastAsia" w:ascii="仿宋_GB2312" w:hAnsi="仿宋" w:eastAsia="仿宋_GB2312"/>
          <w:color w:val="000000"/>
          <w:sz w:val="32"/>
          <w:szCs w:val="32"/>
          <w:lang w:val="en-US" w:eastAsia="zh-CN"/>
        </w:rPr>
        <w:t>该项目由</w:t>
      </w:r>
      <w:r>
        <w:rPr>
          <w:rFonts w:hint="eastAsia" w:ascii="仿宋_GB2312" w:eastAsia="仿宋_GB2312"/>
          <w:color w:val="000000"/>
          <w:sz w:val="32"/>
          <w:szCs w:val="32"/>
          <w:lang w:val="en-US" w:eastAsia="zh-CN"/>
        </w:rPr>
        <w:t>巴彦淖尔</w:t>
      </w:r>
      <w:r>
        <w:rPr>
          <w:rFonts w:hint="eastAsia" w:ascii="仿宋_GB2312" w:eastAsia="仿宋_GB2312"/>
          <w:color w:val="000000"/>
          <w:sz w:val="32"/>
          <w:szCs w:val="32"/>
          <w:lang w:val="zh-CN"/>
        </w:rPr>
        <w:t>市</w:t>
      </w:r>
      <w:r>
        <w:rPr>
          <w:rFonts w:hint="eastAsia" w:ascii="仿宋_GB2312" w:hAnsi="仿宋" w:eastAsia="仿宋_GB2312"/>
          <w:color w:val="000000"/>
          <w:sz w:val="32"/>
          <w:szCs w:val="32"/>
        </w:rPr>
        <w:t>生态环境局</w:t>
      </w:r>
      <w:r>
        <w:rPr>
          <w:rFonts w:hint="eastAsia" w:ascii="仿宋_GB2312" w:hAnsi="仿宋" w:eastAsia="仿宋_GB2312"/>
          <w:color w:val="000000"/>
          <w:sz w:val="32"/>
          <w:szCs w:val="32"/>
          <w:lang w:val="en-US" w:eastAsia="zh-CN"/>
        </w:rPr>
        <w:t>乌拉特后旗分局</w:t>
      </w:r>
      <w:r>
        <w:rPr>
          <w:rFonts w:hint="eastAsia" w:ascii="仿宋_GB2312" w:hAnsi="仿宋" w:eastAsia="仿宋_GB2312"/>
          <w:color w:val="000000"/>
          <w:sz w:val="32"/>
          <w:szCs w:val="32"/>
        </w:rPr>
        <w:t>负责施工期</w:t>
      </w:r>
      <w:r>
        <w:rPr>
          <w:rFonts w:hint="eastAsia" w:ascii="仿宋_GB2312" w:hAnsi="仿宋" w:eastAsia="仿宋_GB2312"/>
          <w:color w:val="000000"/>
          <w:sz w:val="32"/>
          <w:szCs w:val="32"/>
          <w:lang w:val="en-US" w:eastAsia="zh-CN"/>
        </w:rPr>
        <w:t>及运营期</w:t>
      </w:r>
      <w:r>
        <w:rPr>
          <w:rFonts w:hint="eastAsia" w:ascii="仿宋_GB2312" w:hAnsi="仿宋" w:eastAsia="仿宋_GB2312"/>
          <w:color w:val="000000"/>
          <w:sz w:val="32"/>
          <w:szCs w:val="32"/>
        </w:rPr>
        <w:t>的监督检查工作</w:t>
      </w:r>
      <w:r>
        <w:rPr>
          <w:rFonts w:hint="eastAsia" w:ascii="仿宋_GB2312" w:hAnsi="仿宋" w:eastAsia="仿宋_GB2312"/>
          <w:color w:val="000000"/>
          <w:sz w:val="32"/>
          <w:szCs w:val="32"/>
          <w:lang w:eastAsia="zh-CN"/>
        </w:rPr>
        <w:t>，</w:t>
      </w:r>
      <w:r>
        <w:rPr>
          <w:rFonts w:hint="eastAsia" w:ascii="仿宋_GB2312" w:hAnsi="仿宋" w:eastAsia="仿宋_GB2312"/>
          <w:color w:val="000000"/>
          <w:sz w:val="32"/>
          <w:szCs w:val="32"/>
          <w:lang w:val="en-US" w:eastAsia="zh-CN"/>
        </w:rPr>
        <w:t>巴彦淖尔市生态环境综合行政执法支队负责督查</w:t>
      </w:r>
      <w:r>
        <w:rPr>
          <w:rFonts w:hint="eastAsia" w:ascii="仿宋_GB2312" w:hAnsi="仿宋" w:eastAsia="仿宋_GB2312"/>
          <w:color w:val="000000"/>
          <w:sz w:val="32"/>
          <w:szCs w:val="32"/>
        </w:rPr>
        <w:t>。</w:t>
      </w:r>
    </w:p>
    <w:p w14:paraId="4E48DC76">
      <w:pPr>
        <w:keepNext w:val="0"/>
        <w:keepLines w:val="0"/>
        <w:pageBreakBefore w:val="0"/>
        <w:kinsoku/>
        <w:wordWrap/>
        <w:overflowPunct/>
        <w:topLinePunct w:val="0"/>
        <w:bidi w:val="0"/>
        <w:snapToGrid/>
        <w:spacing w:line="560" w:lineRule="exact"/>
        <w:ind w:firstLine="640" w:firstLineChars="200"/>
        <w:textAlignment w:val="auto"/>
        <w:rPr>
          <w:rFonts w:hint="eastAsia" w:ascii="仿宋_GB2312" w:hAnsi="仿宋" w:eastAsia="仿宋_GB2312"/>
          <w:color w:val="000000"/>
          <w:sz w:val="32"/>
          <w:szCs w:val="32"/>
        </w:rPr>
      </w:pPr>
    </w:p>
    <mc:AlternateContent>
      <mc:Choice Requires="wpsCustomData">
        <wpsCustomData:docfieldEnd id="1"/>
      </mc:Choice>
    </mc:AlternateContent>
    <w:p w14:paraId="4D681924">
      <w:pPr>
        <w:keepNext w:val="0"/>
        <w:keepLines w:val="0"/>
        <w:pageBreakBefore w:val="0"/>
        <w:widowControl w:val="0"/>
        <w:kinsoku/>
        <w:wordWrap/>
        <w:overflowPunct/>
        <w:topLinePunct w:val="0"/>
        <w:autoSpaceDE/>
        <w:autoSpaceDN/>
        <w:bidi w:val="0"/>
        <w:adjustRightInd/>
        <w:snapToGrid/>
        <w:spacing w:line="400" w:lineRule="exact"/>
        <w:textAlignment w:val="auto"/>
        <w:rPr>
          <w:sz w:val="11"/>
          <w:szCs w:val="11"/>
        </w:rPr>
      </w:pPr>
    </w:p>
    <w:p w14:paraId="3D204CFD">
      <w:pPr>
        <w:keepNext w:val="0"/>
        <w:keepLines w:val="0"/>
        <w:pageBreakBefore w:val="0"/>
        <w:kinsoku/>
        <w:wordWrap/>
        <w:overflowPunct/>
        <w:topLinePunct w:val="0"/>
        <w:bidi w:val="0"/>
        <w:snapToGrid/>
        <w:spacing w:line="560" w:lineRule="exact"/>
        <w:jc w:val="left"/>
        <w:textAlignment w:val="auto"/>
        <w:rPr>
          <w:rFonts w:ascii="仿宋_GB2312" w:hAnsi="仿宋" w:eastAsia="仿宋_GB2312"/>
          <w:sz w:val="32"/>
          <w:szCs w:val="32"/>
        </w:rPr>
      </w:pPr>
      <w:r>
        <w:rPr>
          <w:rFonts w:hint="eastAsia" w:ascii="仿宋_GB2312" w:hAnsi="仿宋" w:eastAsia="仿宋_GB2312"/>
          <w:spacing w:val="-4"/>
          <w:sz w:val="32"/>
          <w:szCs w:val="32"/>
        </w:rPr>
        <w:t xml:space="preserve">                       </w:t>
      </w:r>
      <w:r>
        <w:rPr>
          <w:rFonts w:hint="eastAsia" w:ascii="仿宋_GB2312" w:hAnsi="仿宋" w:eastAsia="仿宋_GB2312"/>
          <w:spacing w:val="-4"/>
          <w:sz w:val="32"/>
          <w:szCs w:val="32"/>
          <w:lang w:val="en-US" w:eastAsia="zh-CN"/>
        </w:rPr>
        <w:t xml:space="preserve">    </w:t>
      </w:r>
      <w:r>
        <w:rPr>
          <w:rFonts w:hint="eastAsia" w:ascii="仿宋_GB2312" w:hAnsi="仿宋" w:eastAsia="仿宋_GB2312"/>
          <w:spacing w:val="-4"/>
          <w:sz w:val="32"/>
          <w:szCs w:val="32"/>
        </w:rPr>
        <w:t xml:space="preserve">    </w:t>
      </w:r>
      <w:r>
        <w:rPr>
          <w:rFonts w:hint="eastAsia" w:ascii="仿宋_GB2312" w:hAnsi="仿宋" w:eastAsia="仿宋_GB2312"/>
          <w:spacing w:val="-4"/>
          <w:sz w:val="32"/>
          <w:szCs w:val="32"/>
          <w:lang w:val="en-US" w:eastAsia="zh-CN"/>
        </w:rPr>
        <w:t>巴彦淖尔市生态环境局</w:t>
      </w:r>
      <w:r>
        <w:rPr>
          <w:rFonts w:hint="eastAsia" w:ascii="仿宋_GB2312" w:hAnsi="仿宋" w:eastAsia="仿宋_GB2312"/>
          <w:spacing w:val="-4"/>
          <w:sz w:val="32"/>
          <w:szCs w:val="32"/>
        </w:rPr>
        <w:t xml:space="preserve">  </w:t>
      </w:r>
      <w:r>
        <w:rPr>
          <w:rFonts w:hint="eastAsia" w:ascii="仿宋_GB2312" w:hAnsi="仿宋" w:eastAsia="仿宋_GB2312"/>
          <w:sz w:val="32"/>
          <w:szCs w:val="32"/>
        </w:rPr>
        <w:t xml:space="preserve"> </w:t>
      </w:r>
    </w:p>
    <w:p w14:paraId="1C47E031">
      <w:pPr>
        <w:keepNext w:val="0"/>
        <w:keepLines w:val="0"/>
        <w:pageBreakBefore w:val="0"/>
        <w:kinsoku/>
        <w:wordWrap/>
        <w:overflowPunct/>
        <w:topLinePunct w:val="0"/>
        <w:bidi w:val="0"/>
        <w:snapToGrid/>
        <w:spacing w:line="560" w:lineRule="exact"/>
        <w:ind w:right="55" w:rightChars="26"/>
        <w:jc w:val="left"/>
        <w:textAlignment w:val="auto"/>
        <w:rPr>
          <w:rFonts w:hint="eastAsia" w:ascii="仿宋_GB2312" w:hAnsi="仿宋" w:eastAsia="仿宋_GB2312"/>
          <w:sz w:val="32"/>
          <w:szCs w:val="32"/>
          <w:lang w:val="en-US" w:eastAsia="zh-CN"/>
        </w:rPr>
      </w:pPr>
      <w:r>
        <w:rPr>
          <w:rFonts w:hint="eastAsia" w:ascii="仿宋_GB2312" w:hAnsi="仿宋" w:eastAsia="仿宋_GB2312"/>
          <w:sz w:val="32"/>
          <w:szCs w:val="32"/>
        </w:rPr>
        <w:t xml:space="preserve">                       </w:t>
      </w:r>
      <w:r>
        <w:rPr>
          <w:rFonts w:hint="eastAsia" w:ascii="仿宋_GB2312" w:hAnsi="仿宋" w:eastAsia="仿宋_GB2312"/>
          <w:sz w:val="32"/>
          <w:szCs w:val="32"/>
          <w:lang w:val="en-US" w:eastAsia="zh-CN"/>
        </w:rPr>
        <w:t xml:space="preserve">   </w:t>
      </w:r>
      <w:r>
        <w:rPr>
          <w:rFonts w:hint="eastAsia" w:ascii="仿宋_GB2312" w:hAnsi="仿宋" w:eastAsia="仿宋_GB2312"/>
          <w:sz w:val="32"/>
          <w:szCs w:val="32"/>
        </w:rPr>
        <w:t xml:space="preserve">     </w:t>
      </w:r>
      <w:bookmarkStart w:id="4" w:name="签发日期"/>
      <w:bookmarkEnd w:id="4"/>
      <w:r>
        <w:rPr>
          <w:rFonts w:hint="default" w:ascii="仿宋_GB2312" w:hAnsi="仿宋" w:eastAsia="仿宋_GB2312"/>
          <w:sz w:val="32"/>
          <w:szCs w:val="32"/>
          <w:lang w:val="en"/>
        </w:rPr>
        <w:t>2025年</w:t>
      </w:r>
      <w:r>
        <w:rPr>
          <w:rFonts w:hint="eastAsia" w:ascii="仿宋_GB2312" w:hAnsi="仿宋" w:eastAsia="仿宋_GB2312"/>
          <w:sz w:val="32"/>
          <w:szCs w:val="32"/>
          <w:lang w:val="en-US" w:eastAsia="zh-CN"/>
        </w:rPr>
        <w:t>11</w:t>
      </w:r>
      <w:r>
        <w:rPr>
          <w:rFonts w:hint="default" w:ascii="仿宋_GB2312" w:hAnsi="仿宋" w:eastAsia="仿宋_GB2312"/>
          <w:sz w:val="32"/>
          <w:szCs w:val="32"/>
          <w:lang w:val="en"/>
        </w:rPr>
        <w:t>月</w:t>
      </w:r>
      <w:r>
        <w:rPr>
          <w:rFonts w:hint="eastAsia" w:ascii="仿宋_GB2312" w:hAnsi="仿宋" w:eastAsia="仿宋_GB2312"/>
          <w:sz w:val="32"/>
          <w:szCs w:val="32"/>
          <w:lang w:val="en-US" w:eastAsia="zh-CN"/>
        </w:rPr>
        <w:t>21</w:t>
      </w:r>
      <w:r>
        <w:rPr>
          <w:rFonts w:hint="default" w:ascii="仿宋_GB2312" w:hAnsi="仿宋" w:eastAsia="仿宋_GB2312"/>
          <w:sz w:val="32"/>
          <w:szCs w:val="32"/>
          <w:lang w:val="en"/>
        </w:rPr>
        <w:t>日</w:t>
      </w:r>
      <w:r>
        <w:rPr>
          <w:rFonts w:hint="eastAsia" w:ascii="仿宋_GB2312" w:hAnsi="仿宋" w:eastAsia="仿宋_GB2312"/>
          <w:sz w:val="32"/>
          <w:szCs w:val="32"/>
          <w:lang w:val="en-US" w:eastAsia="zh-CN"/>
        </w:rPr>
        <w:t xml:space="preserve"> </w:t>
      </w:r>
    </w:p>
    <w:p w14:paraId="0E150848"/>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方正小标宋_GBK">
    <w:panose1 w:val="02000000000000000000"/>
    <w:charset w:val="86"/>
    <w:family w:val="auto"/>
    <w:pitch w:val="default"/>
    <w:sig w:usb0="A00002BF" w:usb1="38CF7CFA" w:usb2="00082016" w:usb3="00000000" w:csb0="00040001" w:csb1="00000000"/>
  </w:font>
  <w:font w:name="方正仿宋简体">
    <w:panose1 w:val="02000000000000000000"/>
    <w:charset w:val="86"/>
    <w:family w:val="auto"/>
    <w:pitch w:val="default"/>
    <w:sig w:usb0="A00002BF" w:usb1="184F6CFA" w:usb2="00000012" w:usb3="00000000" w:csb0="00040001"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F87019B"/>
    <w:rsid w:val="5F8701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6"/>
    <w:basedOn w:val="1"/>
    <w:next w:val="1"/>
    <w:qFormat/>
    <w:uiPriority w:val="0"/>
    <w:pPr>
      <w:keepNext/>
      <w:keepLines/>
      <w:widowControl w:val="0"/>
      <w:spacing w:before="240" w:after="64" w:line="320" w:lineRule="auto"/>
      <w:jc w:val="both"/>
      <w:outlineLvl w:val="5"/>
    </w:pPr>
    <w:rPr>
      <w:rFonts w:ascii="Cambria" w:hAnsi="Cambria" w:eastAsia="宋体" w:cs="Times New Roman"/>
      <w:b/>
      <w:bCs/>
      <w:kern w:val="2"/>
      <w:sz w:val="24"/>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customStyle="1" w:styleId="5">
    <w:name w:val="Default"/>
    <w:qFormat/>
    <w:uiPriority w:val="0"/>
    <w:pPr>
      <w:widowControl w:val="0"/>
      <w:autoSpaceDE w:val="0"/>
      <w:autoSpaceDN w:val="0"/>
      <w:adjustRightInd w:val="0"/>
    </w:pPr>
    <w:rPr>
      <w:rFonts w:ascii="Calibri" w:hAnsi="Calibri" w:eastAsia="宋体" w:cs="Times New Roman"/>
      <w:color w:val="000000"/>
      <w:sz w:val="24"/>
      <w:szCs w:val="24"/>
      <w:lang w:val="en-US" w:eastAsia="zh-CN" w:bidi="ar-SA"/>
    </w:rPr>
  </w:style>
  <w:style w:type="paragraph" w:customStyle="1" w:styleId="6">
    <w:name w:val="[1]正文"/>
    <w:qFormat/>
    <w:uiPriority w:val="0"/>
    <w:pPr>
      <w:widowControl w:val="0"/>
      <w:autoSpaceDE w:val="0"/>
      <w:autoSpaceDN w:val="0"/>
      <w:ind w:firstLine="200" w:firstLineChars="200"/>
      <w:jc w:val="both"/>
    </w:pPr>
    <w:rPr>
      <w:rFonts w:ascii="Times New Roman" w:hAnsi="Times New Roman" w:eastAsia="宋体" w:cs="Times New Roman"/>
      <w:color w:val="000000"/>
      <w:kern w:val="0"/>
      <w:sz w:val="21"/>
      <w:szCs w:val="24"/>
      <w:lang w:val="zh-CN"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3</TotalTime>
  <ScaleCrop>false</ScaleCrop>
  <LinksUpToDate>false</LinksUpToDate>
  <CharactersWithSpaces>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2025-11-19T09:26:00Z</dcterms:created>
  <dc:creator>宫月琴</dc:creator>
  <cp:lastModifiedBy>宫月琴</cp:lastModifiedBy>
  <dcterms:modified xsi:type="dcterms:W3CDTF">2025-11-19T09:32:03Z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86C51155531041CEB793E34775A635EB_11</vt:lpwstr>
  </property>
  <property fmtid="{D5CDD505-2E9C-101B-9397-08002B2CF9AE}" pid="4" name="KSOTemplateDocerSaveRecord">
    <vt:lpwstr>eyJoZGlkIjoiMTkyMGZmM2QxMjhlOTdjODNiYzBmOTdiM2MzNTgwMTAiLCJ1c2VySWQiOiIzNzY0OTE4MjUifQ==</vt:lpwstr>
  </property>
</Properties>
</file>